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DB41B4" w14:paraId="785C2FCD" w14:textId="494D02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DB41B4">
        <w:rPr>
          <w:sz w:val="28"/>
          <w:szCs w:val="28"/>
        </w:rPr>
        <w:t>feita a</w:t>
      </w:r>
      <w:r w:rsidRPr="00DB41B4" w:rsidR="00DB41B4">
        <w:rPr>
          <w:sz w:val="28"/>
          <w:szCs w:val="28"/>
        </w:rPr>
        <w:t xml:space="preserve"> </w:t>
      </w:r>
      <w:r w:rsidR="00000EDB">
        <w:rPr>
          <w:sz w:val="28"/>
          <w:szCs w:val="28"/>
        </w:rPr>
        <w:t xml:space="preserve">pintura de solo na lombada e faixa de pedestre na rua aguai em frente ao numero 238 </w:t>
      </w:r>
    </w:p>
    <w:p w:rsidR="00321554" w:rsidP="00DB41B4" w14:paraId="03A2D379" w14:textId="2B6E371A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9B0FD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25873"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4077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ED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8D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2021-02-09T12:24:00Z</dcterms:created>
  <dcterms:modified xsi:type="dcterms:W3CDTF">2021-02-09T12:24:00Z</dcterms:modified>
</cp:coreProperties>
</file>