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3CE4" w:rsidRPr="000532EF" w:rsidP="00502492" w14:paraId="443D9501" w14:textId="185E2D42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spacing w:val="2"/>
        </w:rPr>
      </w:pPr>
      <w:permStart w:id="0" w:edGrp="everyone"/>
      <w:r w:rsidRPr="000532EF">
        <w:rPr>
          <w:rFonts w:ascii="Cambria" w:hAnsi="Cambria" w:cs="Arial"/>
          <w:b/>
          <w:bCs/>
          <w:spacing w:val="2"/>
        </w:rPr>
        <w:t>PR</w:t>
      </w:r>
      <w:r>
        <w:rPr>
          <w:rFonts w:ascii="Cambria" w:hAnsi="Cambria" w:cs="Arial"/>
          <w:b/>
          <w:bCs/>
          <w:spacing w:val="2"/>
        </w:rPr>
        <w:t xml:space="preserve">OJETO DE LEI N°___________ DE </w:t>
      </w:r>
      <w:r w:rsidR="006C05BF">
        <w:rPr>
          <w:rFonts w:ascii="Cambria" w:hAnsi="Cambria" w:cs="Arial"/>
          <w:b/>
          <w:bCs/>
          <w:spacing w:val="2"/>
        </w:rPr>
        <w:t>30</w:t>
      </w:r>
      <w:r w:rsidRPr="000532EF">
        <w:rPr>
          <w:rFonts w:ascii="Cambria" w:hAnsi="Cambria" w:cs="Arial"/>
          <w:b/>
          <w:bCs/>
          <w:spacing w:val="2"/>
        </w:rPr>
        <w:t xml:space="preserve"> </w:t>
      </w:r>
      <w:r>
        <w:rPr>
          <w:rFonts w:ascii="Cambria" w:hAnsi="Cambria" w:cs="Arial"/>
          <w:b/>
          <w:bCs/>
          <w:spacing w:val="2"/>
        </w:rPr>
        <w:t>JANEIRO</w:t>
      </w:r>
      <w:r w:rsidRPr="000532EF">
        <w:rPr>
          <w:rFonts w:ascii="Cambria" w:hAnsi="Cambria" w:cs="Arial"/>
          <w:b/>
          <w:bCs/>
          <w:spacing w:val="2"/>
        </w:rPr>
        <w:t xml:space="preserve"> DE 202</w:t>
      </w:r>
      <w:r>
        <w:rPr>
          <w:rFonts w:ascii="Cambria" w:hAnsi="Cambria" w:cs="Arial"/>
          <w:b/>
          <w:bCs/>
          <w:spacing w:val="2"/>
        </w:rPr>
        <w:t>3</w:t>
      </w:r>
    </w:p>
    <w:p w:rsidR="003A3CE4" w:rsidRPr="000532EF" w:rsidP="00502492" w14:paraId="098A11EC" w14:textId="77777777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b/>
          <w:spacing w:val="2"/>
        </w:rPr>
      </w:pPr>
    </w:p>
    <w:p w:rsidR="003A3CE4" w:rsidRPr="000532EF" w:rsidP="00502492" w14:paraId="10DE33F3" w14:textId="77777777">
      <w:pPr>
        <w:ind w:left="4320"/>
        <w:jc w:val="both"/>
        <w:rPr>
          <w:rFonts w:ascii="Cambria" w:hAnsi="Cambria"/>
          <w:sz w:val="24"/>
          <w:szCs w:val="24"/>
        </w:rPr>
      </w:pPr>
    </w:p>
    <w:p w:rsidR="003A3CE4" w:rsidP="00502492" w14:paraId="377BA102" w14:textId="65C45B76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b/>
          <w:spacing w:val="2"/>
        </w:rPr>
      </w:pPr>
      <w:r>
        <w:rPr>
          <w:rFonts w:ascii="Cambria" w:hAnsi="Cambria" w:cs="Arial"/>
          <w:b/>
          <w:spacing w:val="2"/>
        </w:rPr>
        <w:t xml:space="preserve">Institui a campanha municipal permanente de combate </w:t>
      </w:r>
      <w:r w:rsidR="00862E8A">
        <w:rPr>
          <w:rFonts w:ascii="Cambria" w:hAnsi="Cambria" w:cs="Arial"/>
          <w:b/>
          <w:spacing w:val="2"/>
        </w:rPr>
        <w:t>às</w:t>
      </w:r>
      <w:r>
        <w:rPr>
          <w:rFonts w:ascii="Cambria" w:hAnsi="Cambria" w:cs="Arial"/>
          <w:b/>
          <w:spacing w:val="2"/>
        </w:rPr>
        <w:t xml:space="preserve"> fraudes e golpes praticados via telefone, internet e aplicativos. </w:t>
      </w:r>
    </w:p>
    <w:p w:rsidR="003A3CE4" w:rsidP="00502492" w14:paraId="1CDC9841" w14:textId="77777777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b/>
          <w:spacing w:val="2"/>
        </w:rPr>
      </w:pPr>
    </w:p>
    <w:p w:rsidR="003A3CE4" w:rsidRPr="000532EF" w:rsidP="00502492" w14:paraId="55C9B6E0" w14:textId="77777777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spacing w:val="2"/>
        </w:rPr>
      </w:pPr>
      <w:r w:rsidRPr="000532EF">
        <w:rPr>
          <w:rFonts w:ascii="Cambria" w:hAnsi="Cambria" w:cs="Arial"/>
          <w:b/>
          <w:spacing w:val="2"/>
        </w:rPr>
        <w:t>Autor:</w:t>
      </w:r>
      <w:r w:rsidRPr="000532EF">
        <w:rPr>
          <w:rFonts w:ascii="Cambria" w:hAnsi="Cambria" w:cs="Arial"/>
          <w:spacing w:val="2"/>
        </w:rPr>
        <w:t xml:space="preserve"> Andre da Farmácia</w:t>
      </w:r>
    </w:p>
    <w:p w:rsidR="003A3CE4" w:rsidRPr="000532EF" w:rsidP="00502492" w14:paraId="3679913B" w14:textId="77777777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Cambria" w:hAnsi="Cambria" w:cs="Arial"/>
          <w:b/>
          <w:sz w:val="24"/>
          <w:szCs w:val="24"/>
        </w:rPr>
      </w:pPr>
    </w:p>
    <w:p w:rsidR="003A3CE4" w:rsidRPr="000532EF" w:rsidP="00502492" w14:paraId="70C566D0" w14:textId="77777777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</w:p>
    <w:p w:rsidR="003A3CE4" w:rsidRPr="000532EF" w:rsidP="00502492" w14:paraId="6006265B" w14:textId="77777777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 w:rsidRPr="000532EF">
        <w:rPr>
          <w:rFonts w:ascii="Cambria" w:eastAsia="Times New Roman" w:hAnsi="Cambria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3A3CE4" w:rsidRPr="000532EF" w:rsidP="00502492" w14:paraId="2F5C7A16" w14:textId="3E351701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0532EF">
        <w:rPr>
          <w:rFonts w:ascii="Cambria" w:hAnsi="Cambria"/>
          <w:b/>
          <w:sz w:val="24"/>
          <w:szCs w:val="24"/>
          <w:highlight w:val="white"/>
        </w:rPr>
        <w:t>Art. 1º</w:t>
      </w:r>
      <w:r w:rsidRPr="000532EF">
        <w:rPr>
          <w:rFonts w:ascii="Cambria" w:hAnsi="Cambria"/>
          <w:sz w:val="24"/>
          <w:szCs w:val="24"/>
          <w:highlight w:val="white"/>
        </w:rPr>
        <w:t xml:space="preserve"> </w:t>
      </w:r>
      <w:r>
        <w:rPr>
          <w:rFonts w:ascii="Cambria" w:hAnsi="Cambria"/>
          <w:sz w:val="24"/>
          <w:szCs w:val="24"/>
        </w:rPr>
        <w:t xml:space="preserve">Esta lei dispõe sobre a companha permanente de combate </w:t>
      </w:r>
      <w:r w:rsidR="00862E8A">
        <w:rPr>
          <w:rFonts w:ascii="Cambria" w:hAnsi="Cambria"/>
          <w:sz w:val="24"/>
          <w:szCs w:val="24"/>
        </w:rPr>
        <w:t>às</w:t>
      </w:r>
      <w:r>
        <w:rPr>
          <w:rFonts w:ascii="Cambria" w:hAnsi="Cambria"/>
          <w:sz w:val="24"/>
          <w:szCs w:val="24"/>
        </w:rPr>
        <w:t xml:space="preserve"> fraudes virtuais no âmbito do município de Sumaré. </w:t>
      </w:r>
    </w:p>
    <w:p w:rsidR="003A3CE4" w:rsidP="00502492" w14:paraId="09C457EA" w14:textId="00AC8B02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0532EF">
        <w:rPr>
          <w:rFonts w:ascii="Cambria" w:hAnsi="Cambria"/>
          <w:b/>
          <w:sz w:val="24"/>
          <w:szCs w:val="24"/>
          <w:highlight w:val="white"/>
        </w:rPr>
        <w:t xml:space="preserve">Art. </w:t>
      </w:r>
      <w:r>
        <w:rPr>
          <w:rFonts w:ascii="Cambria" w:hAnsi="Cambria"/>
          <w:b/>
          <w:sz w:val="24"/>
          <w:szCs w:val="24"/>
          <w:highlight w:val="white"/>
        </w:rPr>
        <w:t>2</w:t>
      </w:r>
      <w:r w:rsidRPr="000532EF">
        <w:rPr>
          <w:rFonts w:ascii="Cambria" w:hAnsi="Cambria"/>
          <w:b/>
          <w:sz w:val="24"/>
          <w:szCs w:val="24"/>
          <w:highlight w:val="white"/>
        </w:rPr>
        <w:t>º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D1A3B">
        <w:rPr>
          <w:rFonts w:ascii="Cambria" w:hAnsi="Cambria"/>
          <w:sz w:val="24"/>
          <w:szCs w:val="24"/>
        </w:rPr>
        <w:t xml:space="preserve">Fica </w:t>
      </w:r>
      <w:r w:rsidR="003F20A4">
        <w:rPr>
          <w:rFonts w:ascii="Cambria" w:hAnsi="Cambria"/>
          <w:sz w:val="24"/>
          <w:szCs w:val="24"/>
        </w:rPr>
        <w:t>instituída</w:t>
      </w:r>
      <w:r w:rsidRPr="002D1A3B">
        <w:rPr>
          <w:rFonts w:ascii="Cambria" w:hAnsi="Cambria"/>
          <w:sz w:val="24"/>
          <w:szCs w:val="24"/>
        </w:rPr>
        <w:t xml:space="preserve"> </w:t>
      </w:r>
      <w:r w:rsidR="003F20A4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>campanha</w:t>
      </w:r>
      <w:r w:rsidRPr="002D1A3B">
        <w:rPr>
          <w:rFonts w:ascii="Cambria" w:hAnsi="Cambria"/>
          <w:sz w:val="24"/>
          <w:szCs w:val="24"/>
        </w:rPr>
        <w:t xml:space="preserve"> permanente de combate a fraudes e golpes praticados via telefone, internet e aplicativos</w:t>
      </w:r>
      <w:r>
        <w:rPr>
          <w:rFonts w:ascii="Cambria" w:hAnsi="Cambria"/>
          <w:sz w:val="24"/>
          <w:szCs w:val="24"/>
        </w:rPr>
        <w:t xml:space="preserve">. </w:t>
      </w:r>
    </w:p>
    <w:p w:rsidR="003A3CE4" w:rsidP="00502492" w14:paraId="4C6D6F25" w14:textId="77777777">
      <w:pPr>
        <w:spacing w:line="36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EA649F">
        <w:rPr>
          <w:rFonts w:ascii="Cambria" w:hAnsi="Cambria"/>
          <w:b/>
          <w:sz w:val="24"/>
          <w:szCs w:val="24"/>
          <w:highlight w:val="white"/>
        </w:rPr>
        <w:t>Art. 3º</w:t>
      </w:r>
      <w:r w:rsidRPr="00EA649F">
        <w:rPr>
          <w:rFonts w:ascii="Cambria" w:hAnsi="Cambria"/>
          <w:b/>
          <w:sz w:val="24"/>
          <w:szCs w:val="24"/>
        </w:rPr>
        <w:t xml:space="preserve"> </w:t>
      </w:r>
      <w:r w:rsidRPr="00EA649F">
        <w:rPr>
          <w:rFonts w:ascii="Cambria" w:hAnsi="Cambria"/>
          <w:sz w:val="24"/>
          <w:szCs w:val="24"/>
        </w:rPr>
        <w:t xml:space="preserve">A campanha consistira em ações educativas visando orientar a população sobre os cuidados a serem tomados </w:t>
      </w:r>
      <w:r>
        <w:rPr>
          <w:rFonts w:ascii="Cambria" w:hAnsi="Cambria"/>
          <w:sz w:val="24"/>
          <w:szCs w:val="24"/>
        </w:rPr>
        <w:t>para</w:t>
      </w:r>
      <w:r w:rsidRPr="00EA649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a </w:t>
      </w:r>
      <w:r w:rsidRPr="00EA649F">
        <w:rPr>
          <w:rFonts w:ascii="Cambria" w:hAnsi="Cambria"/>
          <w:sz w:val="24"/>
          <w:szCs w:val="24"/>
        </w:rPr>
        <w:t>preven</w:t>
      </w:r>
      <w:r>
        <w:rPr>
          <w:rFonts w:ascii="Cambria" w:hAnsi="Cambria"/>
          <w:sz w:val="24"/>
          <w:szCs w:val="24"/>
        </w:rPr>
        <w:t>ção</w:t>
      </w:r>
      <w:r w:rsidRPr="00EA649F">
        <w:rPr>
          <w:rFonts w:ascii="Cambria" w:hAnsi="Cambria"/>
          <w:sz w:val="24"/>
          <w:szCs w:val="24"/>
        </w:rPr>
        <w:t xml:space="preserve"> de golpes virtuais.</w:t>
      </w:r>
      <w:r>
        <w:rPr>
          <w:rFonts w:ascii="Cambria" w:hAnsi="Cambria"/>
          <w:b/>
          <w:sz w:val="24"/>
          <w:szCs w:val="24"/>
        </w:rPr>
        <w:t xml:space="preserve"> </w:t>
      </w:r>
    </w:p>
    <w:p w:rsidR="003A3CE4" w:rsidRPr="00F14BA1" w:rsidP="00502492" w14:paraId="1D4DAEB1" w14:textId="2B5C1802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C81534">
        <w:rPr>
          <w:rFonts w:ascii="Cambria" w:hAnsi="Cambria"/>
          <w:b/>
          <w:bCs/>
          <w:sz w:val="24"/>
          <w:szCs w:val="24"/>
        </w:rPr>
        <w:t>Parágrafo único.</w:t>
      </w:r>
      <w:r w:rsidRPr="00F14BA1">
        <w:rPr>
          <w:rFonts w:ascii="Cambria" w:hAnsi="Cambria"/>
          <w:sz w:val="24"/>
          <w:szCs w:val="24"/>
        </w:rPr>
        <w:t xml:space="preserve"> </w:t>
      </w:r>
      <w:r w:rsidR="00502492">
        <w:rPr>
          <w:rFonts w:ascii="Cambria" w:hAnsi="Cambria"/>
          <w:sz w:val="24"/>
          <w:szCs w:val="24"/>
        </w:rPr>
        <w:t xml:space="preserve">O </w:t>
      </w:r>
      <w:r w:rsidRPr="00F14BA1" w:rsidR="00502492">
        <w:rPr>
          <w:rFonts w:ascii="Cambria" w:hAnsi="Cambria"/>
          <w:sz w:val="24"/>
          <w:szCs w:val="24"/>
        </w:rPr>
        <w:t xml:space="preserve">Poder Executivo </w:t>
      </w:r>
      <w:r w:rsidR="00502492">
        <w:rPr>
          <w:rFonts w:ascii="Cambria" w:hAnsi="Cambria"/>
          <w:sz w:val="24"/>
          <w:szCs w:val="24"/>
        </w:rPr>
        <w:t>p</w:t>
      </w:r>
      <w:r w:rsidRPr="00F14BA1">
        <w:rPr>
          <w:rFonts w:ascii="Cambria" w:hAnsi="Cambria"/>
          <w:sz w:val="24"/>
          <w:szCs w:val="24"/>
        </w:rPr>
        <w:t>oder</w:t>
      </w:r>
      <w:r w:rsidR="00502492">
        <w:rPr>
          <w:rFonts w:ascii="Cambria" w:hAnsi="Cambria"/>
          <w:sz w:val="24"/>
          <w:szCs w:val="24"/>
        </w:rPr>
        <w:t>á</w:t>
      </w:r>
      <w:r w:rsidRPr="00F14BA1">
        <w:rPr>
          <w:rFonts w:ascii="Cambria" w:hAnsi="Cambria"/>
          <w:sz w:val="24"/>
          <w:szCs w:val="24"/>
        </w:rPr>
        <w:t xml:space="preserve"> firma</w:t>
      </w:r>
      <w:r w:rsidR="00502492">
        <w:rPr>
          <w:rFonts w:ascii="Cambria" w:hAnsi="Cambria"/>
          <w:sz w:val="24"/>
          <w:szCs w:val="24"/>
        </w:rPr>
        <w:t>r</w:t>
      </w:r>
      <w:r w:rsidRPr="00F14BA1">
        <w:rPr>
          <w:rFonts w:ascii="Cambria" w:hAnsi="Cambria"/>
          <w:sz w:val="24"/>
          <w:szCs w:val="24"/>
        </w:rPr>
        <w:t xml:space="preserve"> convênios com empresas privadas e órgãos defesa do consumidor para a execução da campanha permanente.</w:t>
      </w:r>
    </w:p>
    <w:p w:rsidR="003A3CE4" w:rsidRPr="00F14BA1" w:rsidP="00502492" w14:paraId="48338462" w14:textId="77777777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EA649F">
        <w:rPr>
          <w:rFonts w:ascii="Cambria" w:hAnsi="Cambria"/>
          <w:b/>
          <w:sz w:val="24"/>
          <w:szCs w:val="24"/>
          <w:highlight w:val="white"/>
        </w:rPr>
        <w:t xml:space="preserve">Art. </w:t>
      </w:r>
      <w:r>
        <w:rPr>
          <w:rFonts w:ascii="Cambria" w:hAnsi="Cambria"/>
          <w:b/>
          <w:sz w:val="24"/>
          <w:szCs w:val="24"/>
          <w:highlight w:val="white"/>
        </w:rPr>
        <w:t>4</w:t>
      </w:r>
      <w:r w:rsidRPr="00EA649F">
        <w:rPr>
          <w:rFonts w:ascii="Cambria" w:hAnsi="Cambria"/>
          <w:b/>
          <w:sz w:val="24"/>
          <w:szCs w:val="24"/>
          <w:highlight w:val="white"/>
        </w:rPr>
        <w:t>º</w:t>
      </w:r>
      <w:r>
        <w:rPr>
          <w:rFonts w:ascii="Cambria" w:hAnsi="Cambria"/>
          <w:b/>
          <w:sz w:val="24"/>
          <w:szCs w:val="24"/>
        </w:rPr>
        <w:t xml:space="preserve"> </w:t>
      </w:r>
      <w:r w:rsidRPr="00F14BA1">
        <w:rPr>
          <w:rFonts w:ascii="Cambria" w:hAnsi="Cambria"/>
          <w:sz w:val="24"/>
          <w:szCs w:val="24"/>
        </w:rPr>
        <w:t xml:space="preserve">Esta Lei entra em vigor na data de sua publicação oficial. </w:t>
      </w:r>
    </w:p>
    <w:p w:rsidR="003A3CE4" w:rsidP="00502492" w14:paraId="5AAC339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3A3CE4" w:rsidP="006C05BF" w14:paraId="7B6A7366" w14:textId="207284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Sala das Sessões, </w:t>
      </w:r>
      <w:r w:rsidR="006C05BF">
        <w:rPr>
          <w:rFonts w:ascii="Cambria" w:eastAsia="Cambria" w:hAnsi="Cambria" w:cs="Cambria"/>
          <w:color w:val="000000"/>
          <w:sz w:val="24"/>
          <w:szCs w:val="24"/>
          <w:highlight w:val="white"/>
        </w:rPr>
        <w:t>30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janeiro</w:t>
      </w:r>
      <w:r w:rsidRPr="0058079B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202</w:t>
      </w:r>
      <w:r>
        <w:rPr>
          <w:rFonts w:ascii="Cambria" w:eastAsia="Cambria" w:hAnsi="Cambria" w:cs="Cambria"/>
          <w:color w:val="000000"/>
          <w:sz w:val="24"/>
          <w:szCs w:val="24"/>
        </w:rPr>
        <w:t>3</w:t>
      </w:r>
      <w:r w:rsidRPr="0058079B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3A3CE4" w:rsidP="003A3CE4" w14:paraId="3DD9FB0E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2181072</wp:posOffset>
            </wp:positionH>
            <wp:positionV relativeFrom="paragraph">
              <wp:posOffset>79121</wp:posOffset>
            </wp:positionV>
            <wp:extent cx="1525270" cy="1080135"/>
            <wp:effectExtent l="0" t="0" r="0" b="0"/>
            <wp:wrapNone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3200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3CE4" w:rsidP="003A3CE4" w14:paraId="6E810A3F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3A3CE4" w:rsidP="003A3CE4" w14:paraId="6772FB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3A3CE4" w:rsidRPr="000859A5" w:rsidP="003A3CE4" w14:paraId="412C73A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3A3CE4" w:rsidRPr="000859A5" w:rsidP="003A3CE4" w14:paraId="615DCCE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3A3CE4" w:rsidP="003A3CE4" w14:paraId="668A575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p w:rsidR="003F20A4" w:rsidP="003A3CE4" w14:paraId="7D1951B9" w14:textId="77777777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3F20A4" w:rsidP="003A3CE4" w14:paraId="5BE06957" w14:textId="77777777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3A3CE4" w:rsidRPr="00C81534" w:rsidP="003A3CE4" w14:paraId="64467362" w14:textId="4F611E9E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  <w:r w:rsidRPr="00C81534">
        <w:rPr>
          <w:rFonts w:ascii="Cambria" w:eastAsia="Times New Roman" w:hAnsi="Cambria" w:cs="Arial"/>
          <w:b/>
          <w:bCs/>
          <w:spacing w:val="2"/>
          <w:sz w:val="24"/>
          <w:szCs w:val="24"/>
        </w:rPr>
        <w:t>JUSTIFICATIVA</w:t>
      </w:r>
    </w:p>
    <w:p w:rsidR="003A3CE4" w:rsidP="003A3CE4" w14:paraId="7DC56651" w14:textId="34374083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533521">
        <w:rPr>
          <w:rFonts w:ascii="Cambria" w:hAnsi="Cambria"/>
          <w:sz w:val="24"/>
          <w:szCs w:val="24"/>
          <w:highlight w:val="white"/>
        </w:rPr>
        <w:t xml:space="preserve">Tenho a honra e </w:t>
      </w:r>
      <w:r w:rsidRPr="00EE41F1">
        <w:rPr>
          <w:rFonts w:ascii="Cambria" w:hAnsi="Cambria"/>
          <w:sz w:val="24"/>
          <w:szCs w:val="24"/>
          <w:highlight w:val="white"/>
        </w:rPr>
        <w:t xml:space="preserve">satisfação de apresentar o presente </w:t>
      </w:r>
      <w:r w:rsidR="00502492">
        <w:rPr>
          <w:rFonts w:ascii="Cambria" w:hAnsi="Cambria"/>
          <w:sz w:val="24"/>
          <w:szCs w:val="24"/>
          <w:highlight w:val="white"/>
        </w:rPr>
        <w:t>P</w:t>
      </w:r>
      <w:r>
        <w:rPr>
          <w:rFonts w:ascii="Cambria" w:hAnsi="Cambria"/>
          <w:sz w:val="24"/>
          <w:szCs w:val="24"/>
          <w:highlight w:val="white"/>
        </w:rPr>
        <w:t xml:space="preserve">rojeto de </w:t>
      </w:r>
      <w:r w:rsidR="00502492">
        <w:rPr>
          <w:rFonts w:ascii="Cambria" w:hAnsi="Cambria"/>
          <w:sz w:val="24"/>
          <w:szCs w:val="24"/>
          <w:highlight w:val="white"/>
        </w:rPr>
        <w:t>L</w:t>
      </w:r>
      <w:r>
        <w:rPr>
          <w:rFonts w:ascii="Cambria" w:hAnsi="Cambria"/>
          <w:sz w:val="24"/>
          <w:szCs w:val="24"/>
          <w:highlight w:val="white"/>
        </w:rPr>
        <w:t xml:space="preserve">ei dispondo sobre a </w:t>
      </w:r>
      <w:r>
        <w:rPr>
          <w:rFonts w:ascii="Cambria" w:hAnsi="Cambria"/>
          <w:sz w:val="24"/>
          <w:szCs w:val="24"/>
        </w:rPr>
        <w:t xml:space="preserve">companha permanente de combate </w:t>
      </w:r>
      <w:r w:rsidR="00502492">
        <w:rPr>
          <w:rFonts w:ascii="Cambria" w:hAnsi="Cambria"/>
          <w:sz w:val="24"/>
          <w:szCs w:val="24"/>
        </w:rPr>
        <w:t>às</w:t>
      </w:r>
      <w:r>
        <w:rPr>
          <w:rFonts w:ascii="Cambria" w:hAnsi="Cambria"/>
          <w:sz w:val="24"/>
          <w:szCs w:val="24"/>
        </w:rPr>
        <w:t xml:space="preserve"> fraudes virtuais</w:t>
      </w:r>
      <w:r w:rsidR="0050249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no âmbito do município de Sumaré. </w:t>
      </w:r>
    </w:p>
    <w:p w:rsidR="003A3CE4" w:rsidRPr="009802EC" w:rsidP="003A3CE4" w14:paraId="18F32AF6" w14:textId="77777777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 início, cumpre-se evidenciar que o</w:t>
      </w:r>
      <w:r w:rsidRPr="009802EC">
        <w:rPr>
          <w:rFonts w:ascii="Cambria" w:hAnsi="Cambria"/>
          <w:sz w:val="24"/>
          <w:szCs w:val="24"/>
        </w:rPr>
        <w:t xml:space="preserve">s golpes e fraudes aplicados via telefone e internet estão cada vez mais comuns no Brasil. </w:t>
      </w:r>
      <w:r>
        <w:rPr>
          <w:rFonts w:ascii="Cambria" w:hAnsi="Cambria"/>
          <w:sz w:val="24"/>
          <w:szCs w:val="24"/>
        </w:rPr>
        <w:t>Em vista disso, p</w:t>
      </w:r>
      <w:r w:rsidRPr="009802EC">
        <w:rPr>
          <w:rFonts w:ascii="Cambria" w:hAnsi="Cambria"/>
          <w:sz w:val="24"/>
          <w:szCs w:val="24"/>
        </w:rPr>
        <w:t xml:space="preserve">esquisa recente realizada pela Mobile Time/Opinion Box com uma amostra de 2.125 pessoas indicou que a cada quatro pessoas, três já sofreram tentativa de golpe por telefone. </w:t>
      </w:r>
    </w:p>
    <w:p w:rsidR="003A3CE4" w:rsidRPr="009802EC" w:rsidP="003A3CE4" w14:paraId="4E1450C1" w14:textId="4C0AA17F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9802E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Outro fato importante a ser mencionado é que e</w:t>
      </w:r>
      <w:r w:rsidRPr="009802EC">
        <w:rPr>
          <w:rFonts w:ascii="Cambria" w:hAnsi="Cambria"/>
          <w:sz w:val="24"/>
          <w:szCs w:val="24"/>
        </w:rPr>
        <w:t xml:space="preserve">ntre os golpes mais comuns estão o falso sequestro, no qual o golpista liga e pede um valor para o resgate de uma falsa vítima. </w:t>
      </w:r>
      <w:r>
        <w:rPr>
          <w:rFonts w:ascii="Cambria" w:hAnsi="Cambria"/>
          <w:sz w:val="24"/>
          <w:szCs w:val="24"/>
        </w:rPr>
        <w:t xml:space="preserve">Além disso, </w:t>
      </w:r>
      <w:r w:rsidR="00502492">
        <w:rPr>
          <w:rFonts w:ascii="Cambria" w:hAnsi="Cambria"/>
          <w:sz w:val="24"/>
          <w:szCs w:val="24"/>
        </w:rPr>
        <w:t>o</w:t>
      </w:r>
      <w:r w:rsidRPr="009802EC">
        <w:rPr>
          <w:rFonts w:ascii="Cambria" w:hAnsi="Cambria"/>
          <w:sz w:val="24"/>
          <w:szCs w:val="24"/>
        </w:rPr>
        <w:t xml:space="preserve"> </w:t>
      </w:r>
      <w:r w:rsidRPr="00502492">
        <w:rPr>
          <w:rFonts w:ascii="Cambria" w:hAnsi="Cambria"/>
          <w:i/>
          <w:iCs/>
          <w:sz w:val="24"/>
          <w:szCs w:val="24"/>
        </w:rPr>
        <w:t>phishing</w:t>
      </w:r>
      <w:r w:rsidRPr="009802EC">
        <w:rPr>
          <w:rFonts w:ascii="Cambria" w:hAnsi="Cambria"/>
          <w:sz w:val="24"/>
          <w:szCs w:val="24"/>
        </w:rPr>
        <w:t xml:space="preserve"> é outro golpe muito comum que atrai a pessoa para uma falsa página ‘oficial’ de determinado site e a vítima acaba fornecendo dados pessoais e bancários sem perceber que está sendo enganada. </w:t>
      </w:r>
      <w:r>
        <w:rPr>
          <w:rFonts w:ascii="Cambria" w:hAnsi="Cambria"/>
          <w:sz w:val="24"/>
          <w:szCs w:val="24"/>
        </w:rPr>
        <w:t>Outrossim,</w:t>
      </w:r>
      <w:r w:rsidRPr="009802EC">
        <w:rPr>
          <w:rFonts w:ascii="Cambria" w:hAnsi="Cambria"/>
          <w:sz w:val="24"/>
          <w:szCs w:val="24"/>
        </w:rPr>
        <w:t xml:space="preserve"> o </w:t>
      </w:r>
      <w:r w:rsidRPr="00502492">
        <w:rPr>
          <w:rFonts w:ascii="Cambria" w:hAnsi="Cambria"/>
          <w:i/>
          <w:iCs/>
          <w:sz w:val="24"/>
          <w:szCs w:val="24"/>
        </w:rPr>
        <w:t>vishing</w:t>
      </w:r>
      <w:r w:rsidRPr="009802EC">
        <w:rPr>
          <w:rFonts w:ascii="Cambria" w:hAnsi="Cambria"/>
          <w:sz w:val="24"/>
          <w:szCs w:val="24"/>
        </w:rPr>
        <w:t xml:space="preserve"> começa com uma ligação de um falso atendente de um serviço que a vítima já utiliza, como bancos e serviços públicos, visando obter dados pessoais, bancários, entre outros. </w:t>
      </w:r>
      <w:r>
        <w:rPr>
          <w:rFonts w:ascii="Cambria" w:hAnsi="Cambria"/>
          <w:sz w:val="24"/>
          <w:szCs w:val="24"/>
        </w:rPr>
        <w:t>Ademais, t</w:t>
      </w:r>
      <w:r w:rsidRPr="009802EC">
        <w:rPr>
          <w:rFonts w:ascii="Cambria" w:hAnsi="Cambria"/>
          <w:sz w:val="24"/>
          <w:szCs w:val="24"/>
        </w:rPr>
        <w:t xml:space="preserve">em se tornado muito comum também a falsa oportunidade de emprego enviada por </w:t>
      </w:r>
      <w:r w:rsidRPr="00502492">
        <w:rPr>
          <w:rFonts w:ascii="Cambria" w:hAnsi="Cambria"/>
          <w:i/>
          <w:iCs/>
          <w:sz w:val="24"/>
          <w:szCs w:val="24"/>
        </w:rPr>
        <w:t>SMS</w:t>
      </w:r>
      <w:r w:rsidRPr="009802EC">
        <w:rPr>
          <w:rFonts w:ascii="Cambria" w:hAnsi="Cambria"/>
          <w:sz w:val="24"/>
          <w:szCs w:val="24"/>
        </w:rPr>
        <w:t xml:space="preserve"> ou </w:t>
      </w:r>
      <w:r w:rsidRPr="00502492">
        <w:rPr>
          <w:rFonts w:ascii="Cambria" w:hAnsi="Cambria"/>
          <w:i/>
          <w:iCs/>
          <w:sz w:val="24"/>
          <w:szCs w:val="24"/>
        </w:rPr>
        <w:t>WhatsApp</w:t>
      </w:r>
      <w:r w:rsidRPr="009802EC">
        <w:rPr>
          <w:rFonts w:ascii="Cambria" w:hAnsi="Cambria"/>
          <w:sz w:val="24"/>
          <w:szCs w:val="24"/>
        </w:rPr>
        <w:t xml:space="preserve"> com </w:t>
      </w:r>
      <w:r w:rsidRPr="00502492">
        <w:rPr>
          <w:rFonts w:ascii="Cambria" w:hAnsi="Cambria"/>
          <w:i/>
          <w:iCs/>
          <w:sz w:val="24"/>
          <w:szCs w:val="24"/>
        </w:rPr>
        <w:t>links</w:t>
      </w:r>
      <w:r w:rsidRPr="009802EC">
        <w:rPr>
          <w:rFonts w:ascii="Cambria" w:hAnsi="Cambria"/>
          <w:sz w:val="24"/>
          <w:szCs w:val="24"/>
        </w:rPr>
        <w:t xml:space="preserve"> suspeitos</w:t>
      </w:r>
      <w:r w:rsidR="00502492">
        <w:rPr>
          <w:rFonts w:ascii="Cambria" w:hAnsi="Cambria"/>
          <w:sz w:val="24"/>
          <w:szCs w:val="24"/>
        </w:rPr>
        <w:t xml:space="preserve">. </w:t>
      </w:r>
    </w:p>
    <w:p w:rsidR="003A3CE4" w:rsidP="003A3CE4" w14:paraId="7C6AED7A" w14:textId="14B90F27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Aliás, c</w:t>
      </w:r>
      <w:r w:rsidRPr="009802EC">
        <w:rPr>
          <w:rFonts w:ascii="Cambria" w:hAnsi="Cambria"/>
          <w:sz w:val="24"/>
          <w:szCs w:val="24"/>
        </w:rPr>
        <w:t xml:space="preserve">omo </w:t>
      </w:r>
      <w:r>
        <w:rPr>
          <w:rFonts w:ascii="Cambria" w:hAnsi="Cambria"/>
          <w:sz w:val="24"/>
          <w:szCs w:val="24"/>
        </w:rPr>
        <w:t xml:space="preserve">se </w:t>
      </w:r>
      <w:r w:rsidRPr="009802EC">
        <w:rPr>
          <w:rFonts w:ascii="Cambria" w:hAnsi="Cambria"/>
          <w:sz w:val="24"/>
          <w:szCs w:val="24"/>
        </w:rPr>
        <w:t>trata de campanha permanente, as ações educativas podem ser realizadas de</w:t>
      </w:r>
      <w:r>
        <w:rPr>
          <w:rFonts w:ascii="Cambria" w:hAnsi="Cambria"/>
          <w:sz w:val="24"/>
          <w:szCs w:val="24"/>
        </w:rPr>
        <w:t xml:space="preserve"> diversas</w:t>
      </w:r>
      <w:r w:rsidRPr="009802EC">
        <w:rPr>
          <w:rFonts w:ascii="Cambria" w:hAnsi="Cambria"/>
          <w:sz w:val="24"/>
          <w:szCs w:val="24"/>
        </w:rPr>
        <w:t xml:space="preserve"> formas, abrangendo site, redes sociais, outdoor, cartazes, entre outros. </w:t>
      </w:r>
      <w:r>
        <w:rPr>
          <w:rFonts w:ascii="Cambria" w:hAnsi="Cambria"/>
          <w:sz w:val="24"/>
          <w:szCs w:val="24"/>
        </w:rPr>
        <w:t>Em vista disso, a</w:t>
      </w:r>
      <w:r w:rsidRPr="009802EC">
        <w:rPr>
          <w:rFonts w:ascii="Cambria" w:hAnsi="Cambria"/>
          <w:sz w:val="24"/>
          <w:szCs w:val="24"/>
        </w:rPr>
        <w:t xml:space="preserve">s orientações podem, inclusive, serem direcionadas a </w:t>
      </w:r>
      <w:r>
        <w:rPr>
          <w:rFonts w:ascii="Cambria" w:hAnsi="Cambria"/>
          <w:sz w:val="24"/>
          <w:szCs w:val="24"/>
        </w:rPr>
        <w:t xml:space="preserve">diversos </w:t>
      </w:r>
      <w:r w:rsidRPr="009802EC">
        <w:rPr>
          <w:rFonts w:ascii="Cambria" w:hAnsi="Cambria"/>
          <w:sz w:val="24"/>
          <w:szCs w:val="24"/>
        </w:rPr>
        <w:t>públicos e de todas idades.</w:t>
      </w:r>
    </w:p>
    <w:p w:rsidR="003A3CE4" w:rsidP="003A3CE4" w14:paraId="2D255AB5" w14:textId="77777777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0532EF">
        <w:rPr>
          <w:rFonts w:ascii="Cambria" w:hAnsi="Cambria"/>
          <w:sz w:val="24"/>
          <w:szCs w:val="24"/>
        </w:rPr>
        <w:t>  </w:t>
      </w:r>
      <w:r w:rsidRPr="00AC7F8C">
        <w:rPr>
          <w:rFonts w:ascii="Cambria" w:hAnsi="Cambria"/>
          <w:sz w:val="24"/>
          <w:szCs w:val="24"/>
          <w:highlight w:val="white"/>
        </w:rPr>
        <w:t>Ante o exposto, proponho o presente Projeto de Lei, esperando contar com a colaboração dos Nobres Pares na sua aprovação.</w:t>
      </w:r>
    </w:p>
    <w:p w:rsidR="003A3CE4" w:rsidP="003A3CE4" w14:paraId="0D158F20" w14:textId="71D480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2221230</wp:posOffset>
            </wp:positionH>
            <wp:positionV relativeFrom="paragraph">
              <wp:posOffset>221615</wp:posOffset>
            </wp:positionV>
            <wp:extent cx="1525270" cy="1080135"/>
            <wp:effectExtent l="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25214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Sala das Sessões, </w:t>
      </w:r>
      <w:r w:rsidR="006C05BF">
        <w:rPr>
          <w:rFonts w:ascii="Cambria" w:eastAsia="Cambria" w:hAnsi="Cambria" w:cs="Cambria"/>
          <w:color w:val="000000"/>
          <w:sz w:val="24"/>
          <w:szCs w:val="24"/>
          <w:highlight w:val="white"/>
        </w:rPr>
        <w:t>30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janeiro</w:t>
      </w:r>
      <w:r w:rsidRPr="0058079B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202</w:t>
      </w:r>
      <w:r>
        <w:rPr>
          <w:rFonts w:ascii="Cambria" w:eastAsia="Cambria" w:hAnsi="Cambria" w:cs="Cambria"/>
          <w:color w:val="000000"/>
          <w:sz w:val="24"/>
          <w:szCs w:val="24"/>
        </w:rPr>
        <w:t>3</w:t>
      </w:r>
      <w:r w:rsidRPr="0058079B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3A3CE4" w:rsidP="003A3CE4" w14:paraId="0F20690A" w14:textId="77777777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</w:p>
    <w:p w:rsidR="003A3CE4" w:rsidRPr="000859A5" w:rsidP="003A3CE4" w14:paraId="696A50C3" w14:textId="77777777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</w:p>
    <w:p w:rsidR="003A3CE4" w:rsidP="003A3CE4" w14:paraId="2EA9488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3A3CE4" w:rsidP="003A3CE4" w14:paraId="2F4FDD93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1550C0" w:rsidP="00862E8A" w14:paraId="43B68328" w14:textId="46BED25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  <w:bookmarkStart w:id="1" w:name="_GoBack"/>
      <w:bookmarkEnd w:id="1"/>
    </w:p>
    <w:permEnd w:id="0"/>
    <w:p w:rsidR="001550C0" w:rsidRPr="00601B0A" w:rsidP="00862E8A" w14:paraId="615DF452" w14:textId="0043DE96">
      <w:pPr>
        <w:pStyle w:val="NormalWeb"/>
        <w:shd w:val="clear" w:color="auto" w:fill="FFFFFF"/>
        <w:spacing w:before="60" w:beforeAutospacing="0" w:after="0" w:afterAutospacing="0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2EF"/>
    <w:rsid w:val="000577F9"/>
    <w:rsid w:val="000859A5"/>
    <w:rsid w:val="000D2BDC"/>
    <w:rsid w:val="000F2F3A"/>
    <w:rsid w:val="00104AAA"/>
    <w:rsid w:val="001550C0"/>
    <w:rsid w:val="0015657E"/>
    <w:rsid w:val="00156CF8"/>
    <w:rsid w:val="002D1A3B"/>
    <w:rsid w:val="003A3CE4"/>
    <w:rsid w:val="003F20A4"/>
    <w:rsid w:val="00460A32"/>
    <w:rsid w:val="004B2CC9"/>
    <w:rsid w:val="00502492"/>
    <w:rsid w:val="0051286F"/>
    <w:rsid w:val="00533521"/>
    <w:rsid w:val="0058079B"/>
    <w:rsid w:val="00601B0A"/>
    <w:rsid w:val="00626437"/>
    <w:rsid w:val="00632FA0"/>
    <w:rsid w:val="006C05BF"/>
    <w:rsid w:val="006C41A4"/>
    <w:rsid w:val="006D1E9A"/>
    <w:rsid w:val="00822396"/>
    <w:rsid w:val="00862E8A"/>
    <w:rsid w:val="009802EC"/>
    <w:rsid w:val="009F6250"/>
    <w:rsid w:val="00A06CF2"/>
    <w:rsid w:val="00A67B53"/>
    <w:rsid w:val="00AC7F8C"/>
    <w:rsid w:val="00AE6AEE"/>
    <w:rsid w:val="00B2455F"/>
    <w:rsid w:val="00BA268E"/>
    <w:rsid w:val="00C00C1E"/>
    <w:rsid w:val="00C36776"/>
    <w:rsid w:val="00C81534"/>
    <w:rsid w:val="00CD6B58"/>
    <w:rsid w:val="00CF401E"/>
    <w:rsid w:val="00E0731E"/>
    <w:rsid w:val="00EA649F"/>
    <w:rsid w:val="00EE41F1"/>
    <w:rsid w:val="00F1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CE4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1C24-F553-42A6-BE2B-DE25E191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426</Words>
  <Characters>2302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2023-01-17T17:11:00Z</cp:lastPrinted>
  <dcterms:created xsi:type="dcterms:W3CDTF">2023-01-16T19:39:00Z</dcterms:created>
  <dcterms:modified xsi:type="dcterms:W3CDTF">2023-01-30T12:00:00Z</dcterms:modified>
</cp:coreProperties>
</file>