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187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14579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21523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