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Angelo Luis Quaglio , altura do n°27, Jardim dos Ipês, Sumaré/SP.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1021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724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6325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7707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2545030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8569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AMUW2mXkYtHUi+mgfp2l+fyFCv81/u6UTKTOijfl5gvi3VupI446Ysrp+5bJ6HqateuVg+8e2TkKIpzJS3pbsIOo30YEHzTxMhfdlJ8M+DXm95sJJcrF5qM=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