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Retirada de Entulhos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William Garcia (bem próximo a Marginal da Rodovia Anhanguera) Jardim Aclimação, Sumaré - SP.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5814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69424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73174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8117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9257331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84713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AMUW2mUmBEFsI+uxTk7czTp0TyUe90jvtyUBWsdF0vaEwFVBhdjW2F49tEiRhEiNGViq1C9UUUB2IOuF0YrH1R1Nzn3irUayV2MBPisgjy3ReDAmMrBtRI8=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