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0218BB" w14:paraId="59B6C278" w14:textId="7E675575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0218BB">
              <w:rPr>
                <w:rFonts w:ascii="Arial" w:hAnsi="Arial" w:cs="Arial"/>
                <w:b/>
                <w:sz w:val="28"/>
                <w:szCs w:val="24"/>
                <w:u w:val="single"/>
              </w:rPr>
              <w:t>Pedro Bezerra de Carvalho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>Santa Eliza (Nova Veneza), CEP: 13177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A03A04">
              <w:rPr>
                <w:rFonts w:ascii="Arial" w:hAnsi="Arial" w:cs="Arial"/>
                <w:b/>
                <w:sz w:val="28"/>
                <w:szCs w:val="24"/>
                <w:u w:val="single"/>
              </w:rPr>
              <w:t>39</w:t>
            </w:r>
            <w:r w:rsidR="000218BB">
              <w:rPr>
                <w:rFonts w:ascii="Arial" w:hAnsi="Arial" w:cs="Arial"/>
                <w:b/>
                <w:sz w:val="28"/>
                <w:szCs w:val="24"/>
                <w:u w:val="single"/>
              </w:rPr>
              <w:t>3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8593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1B93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7244-21C1-4ACE-A7C4-B40B331D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2022-11-07T12:07:00Z</dcterms:created>
  <dcterms:modified xsi:type="dcterms:W3CDTF">2022-11-07T12:07:00Z</dcterms:modified>
</cp:coreProperties>
</file>