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A88AE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953FE">
        <w:rPr>
          <w:rFonts w:ascii="Arial" w:hAnsi="Arial" w:cs="Arial"/>
          <w:sz w:val="24"/>
          <w:szCs w:val="24"/>
        </w:rPr>
        <w:t>das Tulipas</w:t>
      </w:r>
      <w:r w:rsidR="00B25D90">
        <w:rPr>
          <w:rFonts w:ascii="Arial" w:hAnsi="Arial" w:cs="Arial"/>
          <w:sz w:val="24"/>
          <w:szCs w:val="24"/>
        </w:rPr>
        <w:t>, bairro São Roque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CC361D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CC361D" w:rsidP="00CC361D" w14:paraId="64D6A7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C361D" w:rsidP="00CC361D" w14:paraId="19D56A5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9514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3B1F"/>
    <w:rsid w:val="00115AA9"/>
    <w:rsid w:val="00116A1C"/>
    <w:rsid w:val="00117D66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20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3EEF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0BCD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47CC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7F7712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1F5A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361D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DF72CA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2D2B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6597B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2022-11-07T17:09:00Z</dcterms:created>
  <dcterms:modified xsi:type="dcterms:W3CDTF">2022-11-07T17:09:00Z</dcterms:modified>
</cp:coreProperties>
</file>