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159665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/>
          <w:bCs/>
          <w:sz w:val="24"/>
          <w:szCs w:val="24"/>
        </w:rPr>
        <w:t>Rua Santa Bárbara</w:t>
      </w:r>
      <w:r w:rsidRPr="00A965FD" w:rsidR="00A965FD">
        <w:rPr>
          <w:rFonts w:ascii="Tahoma" w:hAnsi="Tahoma" w:cs="Tahoma"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sz w:val="24"/>
          <w:szCs w:val="24"/>
        </w:rPr>
        <w:t>em toda a sua extensão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77B26" w:rsidR="00477B26">
        <w:rPr>
          <w:rFonts w:ascii="Tahoma" w:hAnsi="Tahoma" w:cs="Tahoma"/>
          <w:b/>
          <w:bCs/>
          <w:sz w:val="24"/>
          <w:szCs w:val="24"/>
        </w:rPr>
        <w:t>Jardim Nova Aurora</w:t>
      </w:r>
      <w:r w:rsidRPr="00477B26" w:rsidR="00477B2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7112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428F6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2022-10-25T12:42:00Z</dcterms:created>
  <dcterms:modified xsi:type="dcterms:W3CDTF">2022-10-25T12:42:00Z</dcterms:modified>
</cp:coreProperties>
</file>