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0A9B" w:rsidP="00360A9B" w14:paraId="753D752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360A9B" w:rsidP="00360A9B" w14:paraId="63B6A6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60A9B" w:rsidP="00360A9B" w14:paraId="4A5DCA02" w14:textId="51C3E861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60A9B" w:rsidP="00360A9B" w14:paraId="0B1B7E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60A9B" w:rsidP="00360A9B" w14:paraId="38CEE5CF" w14:textId="3A0A996B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>
        <w:rPr>
          <w:rFonts w:eastAsia="Calibri" w:cstheme="minorHAnsi"/>
          <w:b/>
          <w:bCs/>
          <w:sz w:val="24"/>
          <w:szCs w:val="24"/>
        </w:rPr>
        <w:t>Operação Cata Treco</w:t>
      </w:r>
      <w:r>
        <w:rPr>
          <w:rFonts w:eastAsia="Calibri" w:cstheme="minorHAnsi"/>
          <w:sz w:val="24"/>
          <w:szCs w:val="24"/>
        </w:rPr>
        <w:t xml:space="preserve"> na </w:t>
      </w:r>
      <w:r>
        <w:rPr>
          <w:rFonts w:eastAsia="Calibri" w:cstheme="minorHAnsi"/>
          <w:noProof/>
          <w:sz w:val="24"/>
          <w:szCs w:val="24"/>
        </w:rPr>
        <w:t>Rua</w:t>
      </w:r>
      <w:r w:rsidR="00191FE4">
        <w:rPr>
          <w:rFonts w:eastAsia="Calibri" w:cstheme="minorHAnsi"/>
          <w:sz w:val="24"/>
          <w:szCs w:val="24"/>
        </w:rPr>
        <w:t xml:space="preserve"> Victorio </w:t>
      </w:r>
      <w:r w:rsidR="00191FE4">
        <w:rPr>
          <w:rFonts w:eastAsia="Calibri" w:cstheme="minorHAnsi"/>
          <w:sz w:val="24"/>
          <w:szCs w:val="24"/>
        </w:rPr>
        <w:t>Zagu</w:t>
      </w:r>
      <w:r w:rsidR="00E34C1A">
        <w:rPr>
          <w:rFonts w:eastAsia="Calibri" w:cstheme="minorHAnsi"/>
          <w:sz w:val="24"/>
          <w:szCs w:val="24"/>
        </w:rPr>
        <w:t>i</w:t>
      </w:r>
      <w:r w:rsidR="00191FE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 </w:t>
      </w:r>
      <w:r w:rsidR="00191FE4">
        <w:rPr>
          <w:rFonts w:eastAsia="Calibri" w:cstheme="minorHAnsi"/>
          <w:noProof/>
          <w:sz w:val="24"/>
          <w:szCs w:val="24"/>
        </w:rPr>
        <w:t>249</w:t>
      </w:r>
      <w:r>
        <w:rPr>
          <w:rFonts w:eastAsia="Calibri" w:cstheme="minorHAnsi"/>
          <w:sz w:val="24"/>
          <w:szCs w:val="24"/>
        </w:rPr>
        <w:t xml:space="preserve">, no bairro </w:t>
      </w:r>
      <w:r w:rsidR="00191FE4">
        <w:rPr>
          <w:rFonts w:eastAsia="Calibri" w:cstheme="minorHAnsi"/>
          <w:noProof/>
          <w:sz w:val="24"/>
          <w:szCs w:val="24"/>
        </w:rPr>
        <w:t>Vila Menuzzo</w:t>
      </w:r>
      <w:r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360A9B" w:rsidP="00360A9B" w14:paraId="7452FC7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 indicação se faz necessária devido ao acúmulo de objetos nas calçadas e no pavimento da mencionada via, atrapalhando principalmente o fluxo dos pedestres e comprometendo a qualidade de vida dos moradores da localidade.</w:t>
      </w:r>
    </w:p>
    <w:p w:rsidR="00360A9B" w:rsidP="00360A9B" w14:paraId="2EACE3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60A9B" w:rsidP="00360A9B" w14:paraId="398F915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60A9B" w:rsidP="00360A9B" w14:paraId="53C776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Sala das Sessões, 25 de outubro de 2022.</w:t>
      </w:r>
    </w:p>
    <w:p w:rsidR="00360A9B" w:rsidP="00360A9B" w14:paraId="262343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31DF3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5CA2A8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671E8A3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60A9B" w:rsidP="00360A9B" w14:paraId="19A8C1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60A9B" w:rsidP="00360A9B" w14:paraId="7A194E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60A9B" w:rsidP="00360A9B" w14:paraId="37E184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2A7707" w:rsidRPr="00360A9B" w:rsidP="00360A9B" w14:paraId="35A867F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FB8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91FE4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0A9B"/>
    <w:rsid w:val="003615FA"/>
    <w:rsid w:val="00361E85"/>
    <w:rsid w:val="00377365"/>
    <w:rsid w:val="003879A2"/>
    <w:rsid w:val="003A0FDD"/>
    <w:rsid w:val="003F5D49"/>
    <w:rsid w:val="00406DA3"/>
    <w:rsid w:val="00460A32"/>
    <w:rsid w:val="00470021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C375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06D0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34C1A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360A9B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13031-1CDF-4CB8-AF3C-3C33F58D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2022-10-24T18:21:00Z</dcterms:created>
  <dcterms:modified xsi:type="dcterms:W3CDTF">2022-10-25T11:53:00Z</dcterms:modified>
</cp:coreProperties>
</file>