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70DCD2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05DDE">
        <w:rPr>
          <w:rFonts w:ascii="Arial" w:hAnsi="Arial" w:cs="Arial"/>
          <w:sz w:val="24"/>
          <w:szCs w:val="24"/>
        </w:rPr>
        <w:t xml:space="preserve">a recuperação asfáltica na Rua Antônio </w:t>
      </w:r>
      <w:r w:rsidR="00E05DDE">
        <w:rPr>
          <w:rFonts w:ascii="Arial" w:hAnsi="Arial" w:cs="Arial"/>
          <w:sz w:val="24"/>
          <w:szCs w:val="24"/>
        </w:rPr>
        <w:t>Menuzzo</w:t>
      </w:r>
      <w:r w:rsidR="00D7292C">
        <w:rPr>
          <w:rFonts w:ascii="Arial" w:hAnsi="Arial" w:cs="Arial"/>
          <w:sz w:val="24"/>
          <w:szCs w:val="24"/>
        </w:rPr>
        <w:t>, bairro Jatobá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105FA" w:rsidP="009105FA" w14:paraId="69276A7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1755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0980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5D8C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17EB9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248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2E1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0561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05FA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1314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14CB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1C8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4906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4261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264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5DDE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4FB3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2022-10-17T19:41:00Z</dcterms:created>
  <dcterms:modified xsi:type="dcterms:W3CDTF">2022-10-17T19:41:00Z</dcterms:modified>
</cp:coreProperties>
</file>