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343ECA" w:rsidRPr="00B27ACF" w:rsidP="00343ECA" w14:paraId="19700FA9" w14:textId="2EAD0FE8">
      <w:pPr>
        <w:pStyle w:val="BodyText"/>
        <w:tabs>
          <w:tab w:val="left" w:pos="1816"/>
        </w:tabs>
        <w:ind w:firstLine="141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43ECA">
        <w:rPr>
          <w:rFonts w:ascii="Times New Roman" w:hAnsi="Times New Roman" w:cs="Times New Roman"/>
          <w:sz w:val="24"/>
          <w:szCs w:val="24"/>
        </w:rPr>
        <w:t>Indico ao Exmo. Sr. Prefei</w:t>
      </w:r>
      <w:bookmarkStart w:id="1" w:name="_GoBack"/>
      <w:bookmarkEnd w:id="1"/>
      <w:r w:rsidRPr="00343ECA">
        <w:rPr>
          <w:rFonts w:ascii="Times New Roman" w:hAnsi="Times New Roman" w:cs="Times New Roman"/>
          <w:sz w:val="24"/>
          <w:szCs w:val="24"/>
        </w:rPr>
        <w:t xml:space="preserve">to Municipal, e ele ao departamento competente, que </w:t>
      </w:r>
      <w:r w:rsidRPr="00343ECA" w:rsidR="004B6756">
        <w:rPr>
          <w:rFonts w:ascii="Times New Roman" w:hAnsi="Times New Roman" w:cs="Times New Roman"/>
          <w:sz w:val="24"/>
          <w:szCs w:val="24"/>
        </w:rPr>
        <w:t xml:space="preserve">sejam </w:t>
      </w:r>
      <w:r w:rsidRPr="00343ECA" w:rsidR="00E76F5E">
        <w:rPr>
          <w:rFonts w:ascii="Times New Roman" w:hAnsi="Times New Roman" w:cs="Times New Roman"/>
          <w:sz w:val="24"/>
          <w:szCs w:val="24"/>
        </w:rPr>
        <w:t>realizada a</w:t>
      </w:r>
      <w:r w:rsidR="00E76F5E">
        <w:rPr>
          <w:rFonts w:ascii="Arial" w:hAnsi="Arial" w:cs="Arial"/>
          <w:sz w:val="24"/>
          <w:szCs w:val="24"/>
        </w:rPr>
        <w:t xml:space="preserve"> </w:t>
      </w:r>
      <w:r w:rsidRPr="00B27ACF">
        <w:rPr>
          <w:rFonts w:ascii="Times New Roman" w:hAnsi="Times New Roman" w:cs="Times New Roman"/>
          <w:b/>
          <w:sz w:val="24"/>
          <w:u w:val="single"/>
        </w:rPr>
        <w:t>limpeza</w:t>
      </w:r>
      <w:r>
        <w:rPr>
          <w:rFonts w:ascii="Times New Roman" w:hAnsi="Times New Roman" w:cs="Times New Roman"/>
          <w:b/>
          <w:sz w:val="24"/>
          <w:u w:val="single"/>
        </w:rPr>
        <w:t xml:space="preserve"> e manutenção</w:t>
      </w:r>
      <w:r w:rsidRPr="00B27ACF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d</w:t>
      </w:r>
      <w:r w:rsidRPr="00B27ACF">
        <w:rPr>
          <w:rFonts w:ascii="Times New Roman" w:hAnsi="Times New Roman" w:cs="Times New Roman"/>
          <w:b/>
          <w:sz w:val="24"/>
          <w:u w:val="single"/>
        </w:rPr>
        <w:t xml:space="preserve">a “boca de lobo” situada na Rua </w:t>
      </w:r>
      <w:r>
        <w:rPr>
          <w:rFonts w:ascii="Times New Roman" w:hAnsi="Times New Roman" w:cs="Times New Roman"/>
          <w:b/>
          <w:sz w:val="24"/>
          <w:u w:val="single"/>
        </w:rPr>
        <w:t>Vaz Tostes</w:t>
      </w:r>
      <w:r w:rsidRPr="00B27ACF">
        <w:rPr>
          <w:rFonts w:ascii="Times New Roman" w:hAnsi="Times New Roman" w:cs="Times New Roman"/>
          <w:b/>
          <w:sz w:val="24"/>
          <w:u w:val="single"/>
        </w:rPr>
        <w:t>, em frente ao número 125 (Adega do Dandão), no bairro Parque Residencial Virgínio Basso.</w:t>
      </w:r>
    </w:p>
    <w:p w:rsidR="008559BC" w:rsidRPr="00343ECA" w:rsidP="00776A05" w14:paraId="66E28272" w14:textId="04EA2F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448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3A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3ECA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3918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27ACF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D47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12C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343E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343EC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3447-4C0A-4638-8514-684C212E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2022-10-10T17:05:00Z</dcterms:created>
  <dcterms:modified xsi:type="dcterms:W3CDTF">2022-10-10T17:06:00Z</dcterms:modified>
</cp:coreProperties>
</file>