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08CFB4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5A1CF2">
        <w:rPr>
          <w:rFonts w:ascii="Arial" w:hAnsi="Arial" w:cs="Arial"/>
          <w:sz w:val="24"/>
          <w:szCs w:val="24"/>
        </w:rPr>
        <w:t>Antônio Quaglio</w:t>
      </w:r>
      <w:r w:rsidR="00943823">
        <w:rPr>
          <w:rFonts w:ascii="Arial" w:hAnsi="Arial" w:cs="Arial"/>
          <w:sz w:val="24"/>
          <w:szCs w:val="24"/>
        </w:rPr>
        <w:t>, bairro Minneapolis.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31721" w:rsidP="00931721" w14:paraId="734A6B24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3757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76E1B"/>
    <w:rsid w:val="00077207"/>
    <w:rsid w:val="00082381"/>
    <w:rsid w:val="000925B9"/>
    <w:rsid w:val="00093824"/>
    <w:rsid w:val="000940C5"/>
    <w:rsid w:val="000942F2"/>
    <w:rsid w:val="00097CA9"/>
    <w:rsid w:val="00097EA8"/>
    <w:rsid w:val="000A0693"/>
    <w:rsid w:val="000A3216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786E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222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1C6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1721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46EA0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CA3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1317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2022-09-20T13:13:00Z</dcterms:created>
  <dcterms:modified xsi:type="dcterms:W3CDTF">2022-09-20T13:13:00Z</dcterms:modified>
</cp:coreProperties>
</file>