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Realização dos Serviços de Infra Estrutura Necessários Para Solucionar Problema de Poeira Excessiva na Região da Rua das Torres, no Jardim São Judas Tadeu, em Sumaré - SP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5541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860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1087554144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1819310438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03498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0652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6174544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5452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6"/>
    <w:next w:val="normal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6"/>
    <w:next w:val="normal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6"/>
    <w:next w:val="normal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6"/>
    <w:next w:val="normal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6"/>
    <w:next w:val="normal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6"/>
    <w:next w:val="normal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bhBJapFs3+36zIk5BHJBXJ8+Ow==">AMUW2mVJ2Y82HeW5EOSjQ6f2vKvKbGvxERNtmdyCuQm0UrABggP/B/4Kx2yonkl+p297r4UYdHo5Hb7tSySCOvcaNI44eJEb+EZ0l6cKxG50jCFveCkLP9o=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