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0033B75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que seja </w:t>
      </w:r>
      <w:r w:rsidR="002A224F">
        <w:rPr>
          <w:sz w:val="28"/>
          <w:szCs w:val="28"/>
        </w:rPr>
        <w:t xml:space="preserve">realizado a troca de lâmpadas </w:t>
      </w:r>
      <w:r w:rsidR="003B386D">
        <w:rPr>
          <w:sz w:val="28"/>
          <w:szCs w:val="28"/>
        </w:rPr>
        <w:t>em vários pontos da Rua Visconde de Mauá, no Jardim João Paulo II.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13CE9200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3B386D">
        <w:rPr>
          <w:sz w:val="28"/>
          <w:szCs w:val="28"/>
        </w:rPr>
        <w:t>22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>agosto de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49241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B386D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A785A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A5F81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4</cp:revision>
  <cp:lastPrinted>2022-08-02T14:11:00Z</cp:lastPrinted>
  <dcterms:created xsi:type="dcterms:W3CDTF">2022-08-02T14:15:00Z</dcterms:created>
  <dcterms:modified xsi:type="dcterms:W3CDTF">2022-08-22T12:57:00Z</dcterms:modified>
</cp:coreProperties>
</file>