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/>
    <w:p w:rsidR="00000000" w:rsidRPr="00000000" w:rsidP="00000000" w14:paraId="00000003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8"/>
          <w:szCs w:val="28"/>
          <w:rtl w:val="0"/>
        </w:rPr>
        <w:t>Tenho</w:t>
      </w: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 a honra e a grata satisfação de apresentar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5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AUTORIZA E ESTABELECE NORMAS PARA ESTABELECIMENTOS PET FRIENDLY.</w:t>
      </w:r>
    </w:p>
    <w:p w:rsidR="00000000" w:rsidRPr="00000000" w:rsidP="00000000" w14:paraId="00000006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000000" w:rsidRPr="00000000" w:rsidP="00000000" w14:paraId="00000007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Alan Leal</w:t>
      </w:r>
    </w:p>
    <w:p w:rsidR="00000000" w:rsidRPr="00000000" w:rsidP="00000000" w14:paraId="00000008"/>
    <w:p w:rsidR="00000000" w:rsidRPr="00000000" w:rsidP="00000000" w14:paraId="0000000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1º  Fica autorizada a presença de animais nos estabelecimentos comerciais e supermercados no município de Sumaré, conforme as especificações da presente Lei.</w:t>
      </w:r>
    </w:p>
    <w:p w:rsidR="00000000" w:rsidRPr="00000000" w:rsidP="00000000" w14:paraId="0000000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§1° Considera-se estabelecimento “Pet Friendly'', o estabelecimento apto a receber animais de estimação, e será considerado estabelecimento amigo de animais domésticos.</w:t>
      </w:r>
    </w:p>
    <w:p w:rsidR="00000000" w:rsidRPr="00000000" w:rsidP="00000000" w14:paraId="0000000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§2° Poderá ser </w:t>
      </w:r>
      <w:r w:rsidRPr="00000000">
        <w:rPr>
          <w:rFonts w:ascii="Arial" w:eastAsia="Arial" w:hAnsi="Arial" w:cs="Arial"/>
          <w:sz w:val="24"/>
          <w:szCs w:val="24"/>
          <w:rtl w:val="0"/>
        </w:rPr>
        <w:t>estabelecimento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pet friendly, o estabelecimento que adote esse modelo de funcionamento, desde que adaptado para receber em suas dependências cães e gatos necessariamente acompanhados por seus tutores na forma definida pela presente Lei.</w:t>
      </w:r>
    </w:p>
    <w:p w:rsidR="00000000" w:rsidRPr="00000000" w:rsidP="00000000" w14:paraId="0000000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2º Nos estabelecimentos comerciais e supermercados pet friendly são admitidos o acesso e a permanência de animais por toda a área de comercialização de produtos, sendo vedado o ingresso e a circulação nas áreas de armazenamento, produção e manipulação de alimentos.</w:t>
      </w:r>
    </w:p>
    <w:p w:rsidR="00000000" w:rsidRPr="00000000" w:rsidP="00000000" w14:paraId="0000000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Parágrafo único. São proibidas:</w:t>
      </w:r>
    </w:p>
    <w:p w:rsidR="00000000" w:rsidRPr="00000000" w:rsidP="00000000" w14:paraId="0000001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- a criação de animais domésticos nas dependências do estabelecimento comercial e supermercados, ressalvados a oferta de água potável, alimentação e abrigo oferecidos a animais de rua nas áreas externas, ou próximo às entradas;</w:t>
      </w:r>
    </w:p>
    <w:p w:rsidR="00000000" w:rsidRPr="00000000" w:rsidP="00000000" w14:paraId="0000001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- a adoção ou comercialização de animais domésticos no estabelecimento, exceto em eventos previamente autorizados ou em pet shops licenciados instalados em suas dependências.</w:t>
      </w:r>
    </w:p>
    <w:p w:rsidR="00000000" w:rsidRPr="00000000" w:rsidP="00000000" w14:paraId="0000001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3º Compete ao estabelecimento comercial pet friendly:</w:t>
      </w:r>
    </w:p>
    <w:p w:rsidR="00000000" w:rsidRPr="00000000" w:rsidP="00000000" w14:paraId="0000001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- possuir ambientes com dimensões que viabilizem a circulação dos animais, sem interferir no fluxo regular dos consumidores, mantendo a segurança, conforto e higiene do estabelecimento;</w:t>
      </w:r>
    </w:p>
    <w:p w:rsidR="00000000" w:rsidRPr="00000000" w:rsidP="00000000" w14:paraId="0000001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- informar aos consumidores, por meio de aviso indicativo:</w:t>
      </w:r>
    </w:p>
    <w:p w:rsidR="00000000" w:rsidRPr="00000000" w:rsidP="00000000" w14:paraId="0000001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a) tratar-se de estabelecimento pet friendly;</w:t>
      </w:r>
    </w:p>
    <w:p w:rsidR="00000000" w:rsidRPr="00000000" w:rsidP="00000000" w14:paraId="0000001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b) as especificações dos animais (cães e gatos) passíveis de recepção;</w:t>
      </w:r>
    </w:p>
    <w:p w:rsidR="00000000" w:rsidRPr="00000000" w:rsidP="00000000" w14:paraId="0000001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c) as regras e restrições para o acesso e a condução dos animais nas dependências do estabelecimento;</w:t>
      </w:r>
    </w:p>
    <w:p w:rsidR="00000000" w:rsidRPr="00000000" w:rsidP="00000000" w14:paraId="0000001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III - orientar e exigir dos tutores o cumprimento das regras;</w:t>
      </w:r>
    </w:p>
    <w:p w:rsidR="00000000" w:rsidRPr="00000000" w:rsidP="00000000" w14:paraId="0000001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IV - permitir somente a entrada no estabelecimento de animal vermifugado e imunizado com vacina antirrábica, mediante a obrigatoriedade de apresentação de comprovante atualizado;</w:t>
      </w:r>
    </w:p>
    <w:p w:rsidR="00000000" w:rsidRPr="00000000" w:rsidP="00000000" w14:paraId="0000001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 - não permitir o ingresso de:</w:t>
      </w:r>
    </w:p>
    <w:p w:rsidR="00000000" w:rsidRPr="00000000" w:rsidP="00000000" w14:paraId="0000001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a) animais notoriamente agressivos, estressados, doentes ou com lesões aparentes;</w:t>
      </w:r>
    </w:p>
    <w:p w:rsidR="00000000" w:rsidRPr="00000000" w:rsidP="00000000" w14:paraId="0000001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b) cães sem uso de coleira, peitoral, guia ou focinheira exigida por lei;</w:t>
      </w:r>
    </w:p>
    <w:p w:rsidR="00000000" w:rsidRPr="00000000" w:rsidP="00000000" w14:paraId="0000001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c) felinos fora do dispositivo de transporte apropriado;</w:t>
      </w:r>
    </w:p>
    <w:p w:rsidR="00000000" w:rsidRPr="00000000" w:rsidP="00000000" w14:paraId="0000001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VI - manter os ambientes de circulação comum sob constante vigilância e higienização;</w:t>
      </w:r>
    </w:p>
    <w:p w:rsidR="00000000" w:rsidRPr="00000000" w:rsidP="00000000" w14:paraId="0000001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VII - manter um ou mais funcionários paramentados para efetuar exclusivamente a pronta higienização do ambiente quando necessário.</w:t>
      </w:r>
    </w:p>
    <w:p w:rsidR="00000000" w:rsidRPr="00000000" w:rsidP="00000000" w14:paraId="0000002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Parágrafo único. Os estabelecimentos poderão ainda:</w:t>
      </w:r>
    </w:p>
    <w:p w:rsidR="00000000" w:rsidRPr="00000000" w:rsidP="00000000" w14:paraId="0000002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- instalar áreas de recreação para os animais, sob a supervisão constante de colaborador;</w:t>
      </w:r>
    </w:p>
    <w:p w:rsidR="00000000" w:rsidRPr="00000000" w:rsidP="00000000" w14:paraId="0000002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- disponibilizar carrinhos adaptados ao transporte simultâneo de animais e produtos em compartimentos separados, observados os procedimentos de higienização adequados imediatamente ao fim de cada uso;</w:t>
      </w:r>
    </w:p>
    <w:p w:rsidR="00000000" w:rsidRPr="00000000" w:rsidP="00000000" w14:paraId="0000002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III - ofertar, em ambientes específicos, fora das áreas comuns de circulação, água potável aos animais por meio de utensílios individuais descartáveis ou reutilizáveis, desde que higienizados;</w:t>
      </w:r>
    </w:p>
    <w:p w:rsidR="00000000" w:rsidRPr="00000000" w:rsidP="00000000" w14:paraId="0000002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IV - designar regras próprias de acordo com o funcionamento do estabelecimento, podendo, inclusive, vedar a entrada dos animais em determinadas circunstâncias ou ações do calendário;</w:t>
      </w:r>
    </w:p>
    <w:p w:rsidR="00000000" w:rsidRPr="00000000" w:rsidP="00000000" w14:paraId="0000002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 - estabelecer identidade visual própria que os identifiquem como pet friendly.</w:t>
      </w:r>
    </w:p>
    <w:p w:rsidR="00000000" w:rsidRPr="00000000" w:rsidP="00000000" w14:paraId="0000002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4º É vedado aos tutores:</w:t>
      </w:r>
    </w:p>
    <w:p w:rsidR="00000000" w:rsidRPr="00000000" w:rsidP="00000000" w14:paraId="0000002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- circular pelas dependências do estabelecimento com espécie canina sem coleira ou peitoral, guia e sem focinheira adequada ao porte ou quando exigida por lei ou ainda, com felino fora do dispositivo de transporte apropriado;</w:t>
      </w:r>
    </w:p>
    <w:p w:rsidR="00000000" w:rsidRPr="00000000" w:rsidP="00000000" w14:paraId="0000002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- incentivar o comportamento social inadequado do animal;</w:t>
      </w:r>
    </w:p>
    <w:p w:rsidR="00000000" w:rsidRPr="00000000" w:rsidP="00000000" w14:paraId="0000002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III - possibilitar o acesso ou contato direto do animal a ambientes não autorizados, equipamentos expositores e embalagens dos alimentos e bebidas expostos à comercialização;</w:t>
      </w:r>
    </w:p>
    <w:p w:rsidR="00000000" w:rsidRPr="00000000" w:rsidP="00000000" w14:paraId="0000002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IV - oferecer alimento e água no interior do estabelecimento;</w:t>
      </w:r>
    </w:p>
    <w:p w:rsidR="00000000" w:rsidRPr="00000000" w:rsidP="00000000" w14:paraId="0000002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 - transportar o animal no compartimento de compras dos carrinhos;</w:t>
      </w:r>
    </w:p>
    <w:p w:rsidR="00000000" w:rsidRPr="00000000" w:rsidP="00000000" w14:paraId="0000002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VI - acessar o estabelecimento acompanhado de animal agressivo, estressado, doente ou sabidamente agressor;</w:t>
      </w:r>
    </w:p>
    <w:p w:rsidR="00000000" w:rsidRPr="00000000" w:rsidP="00000000" w14:paraId="0000002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VII - desacatar as orientações e determinações dos colaboradores do</w:t>
      </w:r>
    </w:p>
    <w:p w:rsidR="00000000" w:rsidRPr="00000000" w:rsidP="00000000" w14:paraId="0000002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estabelecimento.</w:t>
      </w:r>
    </w:p>
    <w:p w:rsidR="00000000" w:rsidRPr="00000000" w:rsidP="00000000" w14:paraId="0000002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Parágrafo único. O tutor deverá providenciar a retirada imediata do animal do estabelecimento em caso de manifestado comportamento estressado, como latidos incessantes, agitação psicomotora e agressividade.</w:t>
      </w:r>
    </w:p>
    <w:p w:rsidR="00000000" w:rsidRPr="00000000" w:rsidP="00000000" w14:paraId="0000003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5º Os supermercados pet friendly são responsáveis pela fiel observância dos critérios e parâmetros ora estabelecidos, devendo adotar todos os procedimentos necessários ao seu cumprimento, incluindo-se a eventual necessidade de retirada de tutores recalcitrantes.</w:t>
      </w:r>
    </w:p>
    <w:p w:rsidR="00000000" w:rsidRPr="00000000" w:rsidP="00000000" w14:paraId="0000003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6º A inobservância aos dispositivos previstos no presente Decreto configura infração de natureza sanitária, sujeitando-se os infratores às sanções previstas nas legislações municipais pertinentes, em especial às sanções estabelecidas na Lei Municipal Nº 6147/2019, sem prejuízo das demais sanções cíveis e penais cabíveis.</w:t>
      </w:r>
    </w:p>
    <w:p w:rsidR="00000000" w:rsidRPr="00000000" w:rsidP="00000000" w14:paraId="0000003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Parágrafo único. Caberá às autoridades sanitárias Municipais e ao Departamento de Bem Estar Animal fiscalizar os estabelecimentos abrangidos por esta norma.</w:t>
      </w:r>
    </w:p>
    <w:p w:rsidR="00000000" w:rsidRPr="00000000" w:rsidP="00000000" w14:paraId="0000003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7º O Poder Executivo Municipal regulamentará, no que couber, a presente Lei, no prazo de até 90 (noventa) dias.</w:t>
      </w:r>
    </w:p>
    <w:p w:rsidR="00000000" w:rsidRPr="00000000" w:rsidP="00000000" w14:paraId="0000003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8º Esta Lei entra em vigor na data de sua publicação.</w:t>
      </w:r>
    </w:p>
    <w:p w:rsidR="00000000" w:rsidRPr="00000000" w:rsidP="00000000" w14:paraId="0000003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8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08 de agosto de 2022.</w:t>
      </w:r>
    </w:p>
    <w:p w:rsidR="00000000" w:rsidRPr="00000000" w:rsidP="00000000" w14:paraId="00000039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A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mc:AlternateContent>
          <mc:Choice Requires="wpg">
            <w:drawing>
              <wp:anchor distT="114300" distB="114300" distL="114300" distR="114300" simplePos="0" relativeHeight="25165824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233156</wp:posOffset>
                </wp:positionV>
                <wp:extent cx="1381125" cy="1628775"/>
                <wp:effectExtent l="0" t="0" r="0" b="0"/>
                <wp:wrapSquare wrapText="bothSides"/>
                <wp:docPr id="35" name="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152400" y="152400"/>
                          <a:ext cx="1381125" cy="1628775"/>
                          <a:chOff x="152400" y="152400"/>
                          <a:chExt cx="1362075" cy="1609725"/>
                        </a:xfrm>
                      </wpg:grpSpPr>
                      <pic:pic xmlns:pic="http://schemas.openxmlformats.org/drawingml/2006/picture">
                        <pic:nvPicPr>
                          <pic:cNvPr id="2" name="Shape 2"/>
                          <pic:cNvPicPr/>
                        </pic:nvPicPr>
                        <pic:blipFill>
                          <a:blip xmlns:r="http://schemas.openxmlformats.org/officeDocument/2006/relationships" r:embed="rId5">
                            <a:alphaModFix amt="10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152400"/>
                            <a:ext cx="1362075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drawing>
              <wp:anchor distT="114300" distB="114300" distL="114300" distR="114300" simplePos="0" relativeHeight="25165926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233156</wp:posOffset>
                </wp:positionV>
                <wp:extent cx="1381125" cy="1628775"/>
                <wp:effectExtent l="0" t="0" r="0" b="0"/>
                <wp:wrapSquare wrapText="bothSides"/>
                <wp:docPr id="868097919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8385222" name="image2.png"/>
                        <pic:cNvPicPr/>
                      </pic:nvPicPr>
                      <pic:blipFill>
                        <a:blip xmlns:r="http://schemas.openxmlformats.org/officeDocument/2006/relationships" r:embed="rId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1125" cy="1628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RPr="00000000" w:rsidP="00000000" w14:paraId="0000003B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C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D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E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F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0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1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2">
      <w:pPr>
        <w:ind w:firstLine="708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                                      </w:t>
      </w:r>
    </w:p>
    <w:p w:rsidR="00000000" w:rsidRPr="00000000" w:rsidP="00000000" w14:paraId="00000043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firstLine="0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44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firstLine="0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5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firstLine="0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6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firstLine="0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7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firstLine="0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8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firstLine="0"/>
        <w:jc w:val="center"/>
        <w:rPr>
          <w:rFonts w:ascii="Arial" w:eastAsia="Arial" w:hAnsi="Arial" w:cs="Arial"/>
          <w:b/>
          <w:sz w:val="28"/>
          <w:szCs w:val="28"/>
        </w:rPr>
      </w:pPr>
    </w:p>
    <w:p w:rsidR="00000000" w:rsidRPr="00000000" w:rsidP="00000000" w14:paraId="00000049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firstLine="0"/>
        <w:jc w:val="center"/>
        <w:rPr>
          <w:rFonts w:ascii="Arial" w:eastAsia="Arial" w:hAnsi="Arial" w:cs="Arial"/>
          <w:b/>
          <w:sz w:val="28"/>
          <w:szCs w:val="28"/>
        </w:rPr>
      </w:pPr>
    </w:p>
    <w:p w:rsidR="00000000" w:rsidRPr="00000000" w:rsidP="00000000" w14:paraId="0000004A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firstLine="0"/>
        <w:jc w:val="center"/>
        <w:rPr>
          <w:rFonts w:ascii="Arial" w:eastAsia="Arial" w:hAnsi="Arial" w:cs="Arial"/>
          <w:b/>
          <w:sz w:val="28"/>
          <w:szCs w:val="28"/>
        </w:rPr>
      </w:pPr>
    </w:p>
    <w:p w:rsidR="00000000" w:rsidRPr="00000000" w:rsidP="00000000" w14:paraId="0000004B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firstLine="0"/>
        <w:jc w:val="center"/>
        <w:rPr>
          <w:rFonts w:ascii="Arial" w:eastAsia="Arial" w:hAnsi="Arial" w:cs="Arial"/>
          <w:b/>
          <w:sz w:val="28"/>
          <w:szCs w:val="28"/>
        </w:rPr>
      </w:pPr>
    </w:p>
    <w:p w:rsidR="00000000" w:rsidRPr="00000000" w:rsidP="00000000" w14:paraId="0000004C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firstLine="0"/>
        <w:jc w:val="center"/>
        <w:rPr>
          <w:rFonts w:ascii="Arial" w:eastAsia="Arial" w:hAnsi="Arial" w:cs="Arial"/>
          <w:b/>
          <w:sz w:val="28"/>
          <w:szCs w:val="28"/>
        </w:rPr>
      </w:pPr>
    </w:p>
    <w:p w:rsidR="00000000" w:rsidRPr="00000000" w:rsidP="00000000" w14:paraId="0000004D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firstLine="0"/>
        <w:jc w:val="center"/>
        <w:rPr>
          <w:rFonts w:ascii="Arial" w:eastAsia="Arial" w:hAnsi="Arial" w:cs="Arial"/>
          <w:b/>
          <w:sz w:val="28"/>
          <w:szCs w:val="28"/>
        </w:rPr>
      </w:pPr>
    </w:p>
    <w:p w:rsidR="00000000" w:rsidRPr="00000000" w:rsidP="00000000" w14:paraId="0000004E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firstLine="0"/>
        <w:jc w:val="center"/>
        <w:rPr>
          <w:rFonts w:ascii="Arial" w:eastAsia="Arial" w:hAnsi="Arial" w:cs="Arial"/>
          <w:b/>
          <w:sz w:val="28"/>
          <w:szCs w:val="28"/>
        </w:rPr>
      </w:pPr>
    </w:p>
    <w:p w:rsidR="00000000" w:rsidRPr="00000000" w:rsidP="00000000" w14:paraId="0000004F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firstLine="0"/>
        <w:jc w:val="center"/>
        <w:rPr>
          <w:rFonts w:ascii="Arial" w:eastAsia="Arial" w:hAnsi="Arial" w:cs="Arial"/>
          <w:b/>
          <w:sz w:val="28"/>
          <w:szCs w:val="28"/>
        </w:rPr>
      </w:pPr>
    </w:p>
    <w:p w:rsidR="00000000" w:rsidRPr="00000000" w:rsidP="00000000" w14:paraId="00000050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firstLine="0"/>
        <w:jc w:val="center"/>
        <w:rPr>
          <w:rFonts w:ascii="Arial" w:eastAsia="Arial" w:hAnsi="Arial" w:cs="Arial"/>
          <w:b/>
          <w:sz w:val="28"/>
          <w:szCs w:val="28"/>
        </w:rPr>
      </w:pPr>
    </w:p>
    <w:p w:rsidR="00000000" w:rsidRPr="00000000" w:rsidP="00000000" w14:paraId="00000051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firstLine="0"/>
        <w:jc w:val="center"/>
        <w:rPr>
          <w:rFonts w:ascii="Arial" w:eastAsia="Arial" w:hAnsi="Arial" w:cs="Arial"/>
          <w:b/>
          <w:sz w:val="28"/>
          <w:szCs w:val="28"/>
        </w:rPr>
      </w:pPr>
    </w:p>
    <w:p w:rsidR="00000000" w:rsidRPr="00000000" w:rsidP="00000000" w14:paraId="00000052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firstLine="0"/>
        <w:jc w:val="center"/>
        <w:rPr>
          <w:rFonts w:ascii="Arial" w:eastAsia="Arial" w:hAnsi="Arial" w:cs="Arial"/>
          <w:b/>
          <w:sz w:val="28"/>
          <w:szCs w:val="28"/>
        </w:rPr>
      </w:pPr>
    </w:p>
    <w:p w:rsidR="00000000" w:rsidRPr="00000000" w:rsidP="00000000" w14:paraId="00000053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firstLine="0"/>
        <w:jc w:val="center"/>
        <w:rPr>
          <w:rFonts w:ascii="Arial" w:eastAsia="Arial" w:hAnsi="Arial" w:cs="Arial"/>
          <w:b/>
          <w:sz w:val="28"/>
          <w:szCs w:val="28"/>
        </w:rPr>
      </w:pPr>
    </w:p>
    <w:p w:rsidR="00000000" w:rsidRPr="00000000" w:rsidP="00000000" w14:paraId="00000054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firstLine="0"/>
        <w:jc w:val="center"/>
        <w:rPr>
          <w:rFonts w:ascii="Arial" w:eastAsia="Arial" w:hAnsi="Arial" w:cs="Arial"/>
          <w:b/>
          <w:sz w:val="28"/>
          <w:szCs w:val="28"/>
        </w:rPr>
      </w:pPr>
    </w:p>
    <w:p w:rsidR="00000000" w:rsidRPr="00000000" w:rsidP="00000000" w14:paraId="00000055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firstLine="0"/>
        <w:jc w:val="center"/>
        <w:rPr>
          <w:rFonts w:ascii="Arial" w:eastAsia="Arial" w:hAnsi="Arial" w:cs="Arial"/>
          <w:b/>
          <w:sz w:val="28"/>
          <w:szCs w:val="28"/>
        </w:rPr>
      </w:pPr>
    </w:p>
    <w:p w:rsidR="00000000" w:rsidRPr="00000000" w:rsidP="00000000" w14:paraId="00000056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firstLine="0"/>
        <w:jc w:val="center"/>
        <w:rPr>
          <w:rFonts w:ascii="Arial" w:eastAsia="Arial" w:hAnsi="Arial" w:cs="Arial"/>
          <w:b/>
          <w:sz w:val="28"/>
          <w:szCs w:val="28"/>
        </w:rPr>
      </w:pPr>
    </w:p>
    <w:p w:rsidR="00000000" w:rsidRPr="00000000" w:rsidP="00000000" w14:paraId="00000057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firstLine="0"/>
        <w:jc w:val="center"/>
        <w:rPr>
          <w:rFonts w:ascii="Arial" w:eastAsia="Arial" w:hAnsi="Arial" w:cs="Arial"/>
          <w:b/>
          <w:sz w:val="28"/>
          <w:szCs w:val="28"/>
        </w:rPr>
      </w:pPr>
    </w:p>
    <w:p w:rsidR="00000000" w:rsidRPr="00000000" w:rsidP="00000000" w14:paraId="00000058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firstLine="0"/>
        <w:jc w:val="center"/>
        <w:rPr>
          <w:rFonts w:ascii="Arial" w:eastAsia="Arial" w:hAnsi="Arial" w:cs="Arial"/>
          <w:b/>
          <w:sz w:val="28"/>
          <w:szCs w:val="28"/>
        </w:rPr>
      </w:pPr>
    </w:p>
    <w:p w:rsidR="00000000" w:rsidRPr="00000000" w:rsidP="00000000" w14:paraId="00000059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firstLine="0"/>
        <w:jc w:val="center"/>
        <w:rPr>
          <w:rFonts w:ascii="Arial" w:eastAsia="Arial" w:hAnsi="Arial" w:cs="Arial"/>
          <w:b/>
          <w:sz w:val="28"/>
          <w:szCs w:val="28"/>
        </w:rPr>
      </w:pPr>
    </w:p>
    <w:p w:rsidR="00000000" w:rsidRPr="00000000" w:rsidP="00000000" w14:paraId="0000005A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firstLine="0"/>
        <w:jc w:val="center"/>
        <w:rPr>
          <w:rFonts w:ascii="Arial" w:eastAsia="Arial" w:hAnsi="Arial" w:cs="Arial"/>
          <w:b/>
          <w:sz w:val="28"/>
          <w:szCs w:val="28"/>
        </w:rPr>
      </w:pPr>
    </w:p>
    <w:p w:rsidR="00000000" w:rsidRPr="00000000" w:rsidP="00000000" w14:paraId="0000005B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firstLine="0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 w:rsidRPr="00000000">
        <w:rPr>
          <w:rFonts w:ascii="Arial" w:eastAsia="Arial" w:hAnsi="Arial" w:cs="Arial"/>
          <w:b/>
          <w:color w:val="000000"/>
          <w:sz w:val="28"/>
          <w:szCs w:val="28"/>
          <w:rtl w:val="0"/>
        </w:rPr>
        <w:t>Justificativa</w:t>
      </w:r>
    </w:p>
    <w:p w:rsidR="00000000" w:rsidRPr="00000000" w:rsidP="00000000" w14:paraId="0000005C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firstLine="0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5D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firstLine="0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5E">
      <w:pPr>
        <w:shd w:val="clear" w:color="auto" w:fill="FFFFFF"/>
        <w:spacing w:after="220"/>
        <w:ind w:firstLine="720"/>
        <w:jc w:val="both"/>
        <w:rPr>
          <w:rFonts w:ascii="Arial" w:eastAsia="Arial" w:hAnsi="Arial" w:cs="Arial"/>
          <w:sz w:val="26"/>
          <w:szCs w:val="26"/>
        </w:rPr>
      </w:pPr>
      <w:r w:rsidRPr="00000000">
        <w:rPr>
          <w:rFonts w:ascii="Arial" w:eastAsia="Arial" w:hAnsi="Arial" w:cs="Arial"/>
          <w:sz w:val="26"/>
          <w:szCs w:val="26"/>
          <w:rtl w:val="0"/>
        </w:rPr>
        <w:t xml:space="preserve"> Considerando o aumento de famílias que adotam um animal de estimação elevando-os à condição de membro familiar, e ainda de encontro à luta da conscientização sobre o direito dos animais, apresento o presente projeto de Lei, que autoriza e estabelece normas gerais para o recebimento de animais de estimação nos estabelecimentos comerciais e supermercados.</w:t>
      </w:r>
    </w:p>
    <w:p w:rsidR="00000000" w:rsidRPr="00000000" w:rsidP="00000000" w14:paraId="0000005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 w:after="220" w:line="259" w:lineRule="auto"/>
        <w:ind w:left="0" w:right="0" w:firstLine="720"/>
        <w:jc w:val="both"/>
        <w:rPr>
          <w:rFonts w:ascii="Arial" w:eastAsia="Arial" w:hAnsi="Arial" w:cs="Arial"/>
          <w:sz w:val="26"/>
          <w:szCs w:val="26"/>
        </w:rPr>
      </w:pPr>
      <w:r w:rsidRPr="00000000">
        <w:rPr>
          <w:rFonts w:ascii="Arial" w:eastAsia="Arial" w:hAnsi="Arial" w:cs="Arial"/>
          <w:sz w:val="26"/>
          <w:szCs w:val="26"/>
          <w:rtl w:val="0"/>
        </w:rPr>
        <w:t>Diante do tema e explicação propostas, conto com a colaboração dos nobres pares para aprovação do presente projeto de Lei.</w:t>
      </w:r>
    </w:p>
    <w:p w:rsidR="00000000" w:rsidRPr="00000000" w:rsidP="00000000" w14:paraId="00000060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61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62">
      <w:pPr>
        <w:ind w:firstLine="708"/>
        <w:jc w:val="right"/>
        <w:rPr>
          <w:rFonts w:ascii="Arial" w:eastAsia="Arial" w:hAnsi="Arial" w:cs="Arial"/>
          <w:sz w:val="26"/>
          <w:szCs w:val="26"/>
        </w:rPr>
      </w:pPr>
      <w:r w:rsidRPr="00000000">
        <w:rPr>
          <w:rFonts w:ascii="Arial" w:eastAsia="Arial" w:hAnsi="Arial" w:cs="Arial"/>
          <w:sz w:val="26"/>
          <w:szCs w:val="26"/>
          <w:rtl w:val="0"/>
        </w:rPr>
        <w:t>Sumaré, 08 de agosto de 2022.</w:t>
      </w:r>
    </w:p>
    <w:p w:rsidR="00000000" w:rsidRPr="00000000" w:rsidP="00000000" w14:paraId="00000063">
      <w:pPr>
        <w:ind w:firstLine="708"/>
        <w:jc w:val="right"/>
        <w:rPr>
          <w:rFonts w:ascii="Arial" w:eastAsia="Arial" w:hAnsi="Arial" w:cs="Arial"/>
          <w:sz w:val="26"/>
          <w:szCs w:val="26"/>
        </w:rPr>
      </w:pPr>
    </w:p>
    <w:p w:rsidR="00000000" w:rsidRPr="00000000" w:rsidP="00000000" w14:paraId="00000064">
      <w:pPr>
        <w:ind w:firstLine="708"/>
        <w:jc w:val="right"/>
        <w:rPr>
          <w:rFonts w:ascii="Arial" w:eastAsia="Arial" w:hAnsi="Arial" w:cs="Arial"/>
          <w:sz w:val="26"/>
          <w:szCs w:val="26"/>
        </w:rPr>
      </w:pPr>
      <w:r w:rsidRPr="00000000">
        <mc:AlternateContent>
          <mc:Choice Requires="wpg">
            <w:drawing>
              <wp:anchor distT="114300" distB="114300" distL="114300" distR="114300" simplePos="0" relativeHeight="251660288" behindDoc="0" locked="0" layoutInCell="1" allowOverlap="1">
                <wp:simplePos x="0" y="0"/>
                <wp:positionH relativeFrom="column">
                  <wp:posOffset>2047875</wp:posOffset>
                </wp:positionH>
                <wp:positionV relativeFrom="paragraph">
                  <wp:posOffset>114300</wp:posOffset>
                </wp:positionV>
                <wp:extent cx="1381125" cy="1628775"/>
                <wp:effectExtent l="0" t="0" r="0" b="0"/>
                <wp:wrapSquare wrapText="bothSides"/>
                <wp:docPr id="38" name="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152400" y="152400"/>
                          <a:ext cx="1381125" cy="1628775"/>
                          <a:chOff x="152400" y="152400"/>
                          <a:chExt cx="1362075" cy="1609725"/>
                        </a:xfrm>
                      </wpg:grpSpPr>
                      <pic:pic xmlns:pic="http://schemas.openxmlformats.org/drawingml/2006/picture">
                        <pic:nvPicPr>
                          <pic:cNvPr id="792339876" name="Shape 2"/>
                          <pic:cNvPicPr/>
                        </pic:nvPicPr>
                        <pic:blipFill>
                          <a:blip xmlns:r="http://schemas.openxmlformats.org/officeDocument/2006/relationships" r:embed="rId5">
                            <a:alphaModFix amt="10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152400"/>
                            <a:ext cx="1362075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drawing>
              <wp:anchor distT="114300" distB="114300" distL="114300" distR="114300" simplePos="0" relativeHeight="251661312" behindDoc="0" locked="0" layoutInCell="1" allowOverlap="1">
                <wp:simplePos x="0" y="0"/>
                <wp:positionH relativeFrom="column">
                  <wp:posOffset>2047875</wp:posOffset>
                </wp:positionH>
                <wp:positionV relativeFrom="paragraph">
                  <wp:posOffset>114300</wp:posOffset>
                </wp:positionV>
                <wp:extent cx="1381125" cy="1628775"/>
                <wp:effectExtent l="0" t="0" r="0" b="0"/>
                <wp:wrapSquare wrapText="bothSides"/>
                <wp:docPr id="1330900186" name="image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8009390" name="image6.png"/>
                        <pic:cNvPicPr/>
                      </pic:nvPicPr>
                      <pic:blipFill>
                        <a:blip xmlns:r="http://schemas.openxmlformats.org/officeDocument/2006/relationships"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1125" cy="1628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RPr="00000000" w:rsidP="00000000" w14:paraId="00000065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66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67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6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69">
      <w:pPr>
        <w:spacing w:line="276" w:lineRule="auto"/>
        <w:rPr>
          <w:rFonts w:ascii="Arial" w:eastAsia="Arial" w:hAnsi="Arial" w:cs="Arial"/>
          <w:sz w:val="24"/>
          <w:szCs w:val="24"/>
        </w:rPr>
      </w:pPr>
    </w:p>
    <w:sectPr>
      <w:headerReference w:type="default" r:id="rId8"/>
      <w:footerReference w:type="even" r:id="rId9"/>
      <w:footerReference w:type="default" r:id="rId10"/>
      <w:footerReference w:type="first" r:id="rId11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6D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6B"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76588485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3641618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6C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6E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6A">
    <w:r w:rsidRPr="00000000">
      <w:drawing>
        <wp:inline distT="0" distB="0" distL="0" distR="0">
          <wp:extent cx="1526058" cy="534121"/>
          <wp:effectExtent l="0" t="0" r="0" b="0"/>
          <wp:docPr id="3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599774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2" name="Shape 12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05860649" name="image5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7961783" name="image5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2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</w:style>
  <w:style w:type="paragraph" w:customStyle="1" w:styleId="Heading11">
    <w:name w:val="Heading 1_1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1">
    <w:name w:val="Heading 3_1"/>
    <w:basedOn w:val="Normal0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1">
    <w:name w:val="Heading 4_1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1">
    <w:name w:val="Heading 6_1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">
    <w:name w:val="Title_1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1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00"/>
    <w:uiPriority w:val="34"/>
    <w:qFormat/>
    <w:locked/>
    <w:rsid w:val="00CA3729"/>
    <w:pPr>
      <w:ind w:left="720"/>
      <w:contextualSpacing/>
    </w:pPr>
  </w:style>
  <w:style w:type="paragraph" w:styleId="Subtitle">
    <w:name w:val="Subtitle"/>
    <w:basedOn w:val="Normal00"/>
    <w:next w:val="Normal0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7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Relationship Id="rId3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7eoQIRqMTtvkq/Bi9Ig8CDHCmA==">AMUW2mXEocacnI4voPP6cESIEAC7hoRQ1HKM3hMIkLJHJ0BtAJE6/sdhQDD6VfQJ8Lslg7CnLfkVTwGGBLaPVU2wiziOR1LARRhGPZYWhQh8UEkHAqUlQIYgVQuI06O6VcVq33QBOBnob3VzET0IlNsll4I8en7MJH4E4hnyHYmfsMPCJp43+aw=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