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A0F990F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979C6">
        <w:rPr>
          <w:rFonts w:ascii="Times New Roman" w:hAnsi="Times New Roman" w:cs="Times New Roman"/>
          <w:sz w:val="28"/>
          <w:szCs w:val="28"/>
        </w:rPr>
        <w:t>Rosa Mariano do Prado, 35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B49D9"/>
    <w:rsid w:val="007E5236"/>
    <w:rsid w:val="007E7A38"/>
    <w:rsid w:val="007F2289"/>
    <w:rsid w:val="007F5E4F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C3579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18C14-533D-4126-BAEC-3A8E88BAF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2022-08-02T12:59:00Z</dcterms:created>
  <dcterms:modified xsi:type="dcterms:W3CDTF">2022-08-02T12:59:00Z</dcterms:modified>
</cp:coreProperties>
</file>