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8BA0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05682E" w:rsidR="0005682E">
        <w:rPr>
          <w:rFonts w:ascii="Bookman Old Style" w:hAnsi="Bookman Old Style" w:cs="Arial"/>
          <w:sz w:val="24"/>
          <w:szCs w:val="24"/>
        </w:rPr>
        <w:t>Avenida Rebouças, altura do nº 3400, em frente ao Supermercado Savegnago.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E5A93" w:rsidP="00AE5A93" w14:paraId="2DB9FFB5" w14:textId="6572FF0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5682E">
        <w:rPr>
          <w:rFonts w:ascii="Bookman Old Style" w:hAnsi="Bookman Old Style" w:cs="Arial"/>
          <w:sz w:val="24"/>
          <w:szCs w:val="24"/>
          <w:lang w:val="pt-PT"/>
        </w:rPr>
        <w:t>21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junho de 2022.</w:t>
      </w:r>
    </w:p>
    <w:p w:rsidR="0048762E" w:rsidP="0048762E" w14:paraId="230C9FB1" w14:textId="056A033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0959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682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3B16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8F3027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AE5A93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36FC2"/>
    <w:rsid w:val="00E41201"/>
    <w:rsid w:val="00EC00C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2022-06-21T12:40:00Z</dcterms:modified>
</cp:coreProperties>
</file>