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bookmarkStart w:id="0" w:name="_GoBack"/>
      <w:bookmarkEnd w:id="0"/>
      <w:permStart w:id="1" w:edGrp="everyone"/>
    </w:p>
    <w:p w:rsidR="0027569A" w:rsidP="0027569A" w14:paraId="3B03234C" w14:textId="09E7056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A7708">
        <w:rPr>
          <w:rFonts w:ascii="Arial" w:hAnsi="Arial" w:cs="Arial"/>
          <w:lang w:val="pt"/>
        </w:rPr>
        <w:t>158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585B77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Rua Vitório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Zagui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, Vila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Menuzzo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,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</w:p>
    <w:p w:rsidR="000A7708" w:rsidP="000A7708" w14:paraId="28289A62" w14:textId="1B3FE15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A presente indicação visa atender à demanda da população que </w:t>
      </w:r>
      <w:r>
        <w:rPr>
          <w:rFonts w:ascii="Arial" w:hAnsi="Arial" w:cs="Arial"/>
          <w:sz w:val="22"/>
          <w:szCs w:val="22"/>
        </w:rPr>
        <w:t>solicita o</w:t>
      </w:r>
      <w:r>
        <w:rPr>
          <w:rFonts w:ascii="Arial" w:hAnsi="Arial" w:cs="Arial"/>
          <w:sz w:val="22"/>
          <w:szCs w:val="22"/>
        </w:rPr>
        <w:t xml:space="preserve"> recapeamento da via pública visto que os buracos na malha asfáltica atrapalham o trânsito e inviabilizam o fluxo dos veículos. O Recape Contínuo, em toda a extensão da via,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E89252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44935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A680E">
        <w:rPr>
          <w:rFonts w:ascii="Arial" w:hAnsi="Arial" w:cs="Arial"/>
          <w:lang w:val="pt"/>
        </w:rPr>
        <w:t>0</w:t>
      </w:r>
      <w:r w:rsidR="000A7708">
        <w:rPr>
          <w:rFonts w:ascii="Arial" w:hAnsi="Arial" w:cs="Arial"/>
          <w:lang w:val="pt"/>
        </w:rPr>
        <w:t>7</w:t>
      </w:r>
      <w:r>
        <w:rPr>
          <w:rFonts w:ascii="Arial" w:hAnsi="Arial" w:cs="Arial"/>
          <w:lang w:val="pt"/>
        </w:rPr>
        <w:t xml:space="preserve"> de </w:t>
      </w:r>
      <w:r w:rsidR="000A7708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1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177C-5E82-4A79-8404-41451621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2022-06-07T11:59:00Z</dcterms:created>
  <dcterms:modified xsi:type="dcterms:W3CDTF">2022-06-07T11:59:00Z</dcterms:modified>
</cp:coreProperties>
</file>