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2E657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67B53">
        <w:rPr>
          <w:rFonts w:ascii="Arial" w:hAnsi="Arial" w:cs="Arial"/>
          <w:sz w:val="24"/>
          <w:szCs w:val="24"/>
        </w:rPr>
        <w:t>José Garcia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777C73">
        <w:rPr>
          <w:rFonts w:ascii="Arial" w:hAnsi="Arial" w:cs="Arial"/>
          <w:sz w:val="24"/>
          <w:szCs w:val="24"/>
        </w:rPr>
        <w:t>Novo Paraná</w:t>
      </w:r>
      <w:r w:rsidR="008A6B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37E5" w:rsidP="00AF37E5" w14:paraId="1293544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1140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1AAA"/>
    <w:rsid w:val="00333C2F"/>
    <w:rsid w:val="00334890"/>
    <w:rsid w:val="003352F7"/>
    <w:rsid w:val="00337468"/>
    <w:rsid w:val="00341CBE"/>
    <w:rsid w:val="00343A81"/>
    <w:rsid w:val="00350AFB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37E5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B53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1CC5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09E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2022-06-03T14:33:00Z</dcterms:created>
  <dcterms:modified xsi:type="dcterms:W3CDTF">2022-06-03T14:33:00Z</dcterms:modified>
</cp:coreProperties>
</file>