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107A8" w:rsidRPr="00D107A8" w:rsidP="006C19EA" w14:paraId="71D722BC" w14:textId="20C54AF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comuns </w:t>
      </w:r>
      <w:r>
        <w:rPr>
          <w:rFonts w:ascii="Arial" w:eastAsia="MS Mincho" w:hAnsi="Arial" w:cs="Arial"/>
          <w:b/>
          <w:bCs/>
          <w:sz w:val="28"/>
          <w:szCs w:val="28"/>
        </w:rPr>
        <w:t>por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107A8">
        <w:rPr>
          <w:rFonts w:ascii="Arial" w:eastAsia="MS Mincho" w:hAnsi="Arial" w:cs="Arial"/>
          <w:b/>
          <w:bCs/>
          <w:sz w:val="28"/>
          <w:szCs w:val="28"/>
        </w:rPr>
        <w:t>Rua Espanha, em toda a extensão – Santa Maria</w:t>
      </w:r>
      <w:bookmarkEnd w:id="1"/>
      <w:r w:rsidRPr="00D107A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428134E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DE322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E05D-AC25-408A-AFF9-5DA16B52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2022-05-23T14:39:00Z</dcterms:created>
  <dcterms:modified xsi:type="dcterms:W3CDTF">2022-05-23T14:39:00Z</dcterms:modified>
</cp:coreProperties>
</file>