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363779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FC30B6">
        <w:rPr>
          <w:rFonts w:ascii="Arial" w:hAnsi="Arial" w:cs="Arial"/>
          <w:sz w:val="24"/>
          <w:szCs w:val="24"/>
        </w:rPr>
        <w:t>William Martins de Souza</w:t>
      </w:r>
      <w:r w:rsidR="00AA71A3">
        <w:rPr>
          <w:rFonts w:ascii="Arial" w:hAnsi="Arial" w:cs="Arial"/>
          <w:sz w:val="24"/>
          <w:szCs w:val="24"/>
        </w:rPr>
        <w:t xml:space="preserve">, </w:t>
      </w:r>
      <w:r w:rsidR="00514265">
        <w:rPr>
          <w:rFonts w:ascii="Arial" w:hAnsi="Arial" w:cs="Arial"/>
          <w:sz w:val="24"/>
          <w:szCs w:val="24"/>
        </w:rPr>
        <w:t>Residencial Ypiranga, CEP 13.181-111.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37EFD" w:rsidP="00737EFD" w14:paraId="1E46D7FA" w14:textId="4D80DF5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14265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514265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2022</w:t>
      </w:r>
      <w:r w:rsidR="00514265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1345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4BD1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94F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265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37EF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2E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4291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2022-05-12T13:52:00Z</dcterms:created>
  <dcterms:modified xsi:type="dcterms:W3CDTF">2022-05-12T13:52:00Z</dcterms:modified>
</cp:coreProperties>
</file>