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2910" w:rsidRPr="00D32836" w:rsidP="002D2910" w14:paraId="65A1380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spacing w:val="2"/>
          <w:sz w:val="28"/>
          <w:szCs w:val="28"/>
        </w:rPr>
      </w:pPr>
      <w:permStart w:id="0" w:edGrp="everyone"/>
      <w:r w:rsidRPr="00D32836">
        <w:rPr>
          <w:rFonts w:ascii="Arial" w:hAnsi="Arial" w:cs="Arial"/>
          <w:b/>
          <w:bCs/>
          <w:spacing w:val="2"/>
          <w:sz w:val="28"/>
          <w:szCs w:val="28"/>
        </w:rPr>
        <w:t xml:space="preserve">PROJETO DE LEI N° ______ DE ___ </w:t>
      </w:r>
      <w:r w:rsidRPr="00D32836">
        <w:rPr>
          <w:rFonts w:ascii="Arial" w:hAnsi="Arial" w:cs="Arial"/>
          <w:b/>
          <w:bCs/>
          <w:spacing w:val="2"/>
          <w:sz w:val="28"/>
          <w:szCs w:val="28"/>
        </w:rPr>
        <w:t>DE</w:t>
      </w:r>
      <w:r w:rsidRPr="00D32836">
        <w:rPr>
          <w:rFonts w:ascii="Arial" w:hAnsi="Arial" w:cs="Arial"/>
          <w:b/>
          <w:bCs/>
          <w:spacing w:val="2"/>
          <w:sz w:val="28"/>
          <w:szCs w:val="28"/>
        </w:rPr>
        <w:t xml:space="preserve"> _____________ </w:t>
      </w:r>
      <w:r w:rsidRPr="00D32836">
        <w:rPr>
          <w:rFonts w:ascii="Arial" w:hAnsi="Arial" w:cs="Arial"/>
          <w:b/>
          <w:bCs/>
          <w:spacing w:val="2"/>
          <w:sz w:val="28"/>
          <w:szCs w:val="28"/>
        </w:rPr>
        <w:t>DE</w:t>
      </w:r>
      <w:r w:rsidRPr="00D32836">
        <w:rPr>
          <w:rFonts w:ascii="Arial" w:hAnsi="Arial" w:cs="Arial"/>
          <w:b/>
          <w:bCs/>
          <w:spacing w:val="2"/>
          <w:sz w:val="28"/>
          <w:szCs w:val="28"/>
        </w:rPr>
        <w:t xml:space="preserve"> 2022</w:t>
      </w:r>
    </w:p>
    <w:p w:rsidR="002D2910" w:rsidRPr="005962B6" w:rsidP="002D2910" w14:paraId="74EFB9DC" w14:textId="77777777">
      <w:pPr>
        <w:jc w:val="both"/>
        <w:rPr>
          <w:rFonts w:ascii="Verdana" w:hAnsi="Verdana"/>
          <w:sz w:val="24"/>
          <w:szCs w:val="24"/>
          <w:shd w:val="clear" w:color="auto" w:fill="FFFFFF"/>
        </w:rPr>
      </w:pPr>
    </w:p>
    <w:p w:rsidR="002D2910" w:rsidRPr="005962B6" w:rsidP="002D2910" w14:paraId="2BBA3225" w14:textId="77777777">
      <w:pPr>
        <w:pStyle w:val="NormalWeb"/>
        <w:shd w:val="clear" w:color="auto" w:fill="FFFFFF"/>
        <w:spacing w:before="60" w:beforeAutospacing="0" w:after="120" w:afterAutospacing="0" w:line="320" w:lineRule="exact"/>
        <w:ind w:left="3969"/>
        <w:jc w:val="both"/>
        <w:rPr>
          <w:rStyle w:val="Emphasis"/>
          <w:rFonts w:ascii="Arial" w:hAnsi="Arial" w:eastAsiaTheme="minorHAnsi" w:cs="Arial"/>
          <w:i w:val="0"/>
          <w:iCs w:val="0"/>
          <w:lang w:eastAsia="en-US"/>
        </w:rPr>
      </w:pPr>
      <w:r w:rsidRPr="005962B6">
        <w:rPr>
          <w:rStyle w:val="Emphasis"/>
          <w:rFonts w:ascii="Arial" w:hAnsi="Arial" w:eastAsiaTheme="minorHAnsi" w:cs="Arial"/>
          <w:lang w:eastAsia="en-US"/>
        </w:rPr>
        <w:t xml:space="preserve">OBRIGA AS AGÊNCIAS BANCÁRIAS DISPONIBILIZAREM AGENTES DE SEGURANÇA PRIVADA JUNTOS AOS </w:t>
      </w:r>
      <w:r>
        <w:rPr>
          <w:rStyle w:val="Emphasis"/>
          <w:rFonts w:ascii="Arial" w:hAnsi="Arial" w:eastAsiaTheme="minorHAnsi" w:cs="Arial"/>
          <w:lang w:eastAsia="en-US"/>
        </w:rPr>
        <w:t>TERMINAIS</w:t>
      </w:r>
      <w:r w:rsidRPr="005962B6">
        <w:rPr>
          <w:rStyle w:val="Emphasis"/>
          <w:rFonts w:ascii="Arial" w:hAnsi="Arial" w:eastAsiaTheme="minorHAnsi" w:cs="Arial"/>
          <w:lang w:eastAsia="en-US"/>
        </w:rPr>
        <w:t xml:space="preserve"> DE CAIXAS ELETRÔNICOS E DÁ OUTRAS PROVIDÊNCIAS.</w:t>
      </w:r>
    </w:p>
    <w:p w:rsidR="002D2910" w:rsidRPr="005962B6" w:rsidP="002D2910" w14:paraId="21228DC9" w14:textId="77777777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Fonts w:ascii="Arial" w:hAnsi="Arial" w:cs="Arial"/>
          <w:b/>
          <w:spacing w:val="2"/>
        </w:rPr>
      </w:pPr>
      <w:r w:rsidRPr="005962B6">
        <w:rPr>
          <w:rFonts w:ascii="Arial" w:hAnsi="Arial" w:cs="Arial"/>
          <w:spacing w:val="2"/>
        </w:rPr>
        <w:t xml:space="preserve">Autor: </w:t>
      </w:r>
      <w:r w:rsidRPr="005962B6">
        <w:rPr>
          <w:rFonts w:ascii="Arial" w:hAnsi="Arial" w:cs="Arial"/>
          <w:b/>
          <w:spacing w:val="2"/>
        </w:rPr>
        <w:t>VEREADOR</w:t>
      </w:r>
      <w:r w:rsidRPr="005962B6">
        <w:rPr>
          <w:rFonts w:ascii="Arial" w:hAnsi="Arial" w:cs="Arial"/>
          <w:spacing w:val="2"/>
        </w:rPr>
        <w:t xml:space="preserve"> </w:t>
      </w:r>
      <w:r w:rsidRPr="005962B6">
        <w:rPr>
          <w:rFonts w:ascii="Arial" w:hAnsi="Arial" w:cs="Arial"/>
          <w:b/>
          <w:spacing w:val="2"/>
        </w:rPr>
        <w:t>TIÃO CORREA</w:t>
      </w:r>
    </w:p>
    <w:p w:rsidR="002D2910" w:rsidRPr="005962B6" w:rsidP="002D2910" w14:paraId="45A6116A" w14:textId="77777777">
      <w:pPr>
        <w:pStyle w:val="NormalWeb"/>
        <w:shd w:val="clear" w:color="auto" w:fill="FFFFFF"/>
        <w:spacing w:before="60" w:beforeAutospacing="0" w:after="0" w:afterAutospacing="0"/>
        <w:ind w:firstLine="164"/>
        <w:jc w:val="both"/>
        <w:rPr>
          <w:rFonts w:ascii="Arial" w:hAnsi="Arial" w:cs="Arial"/>
          <w:spacing w:val="2"/>
        </w:rPr>
      </w:pPr>
    </w:p>
    <w:p w:rsidR="002D2910" w:rsidRPr="005962B6" w:rsidP="002D2910" w14:paraId="0EF6EE98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D2910" w:rsidRPr="005962B6" w:rsidP="002D2910" w14:paraId="322C03F4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165" w:firstLine="1253"/>
        <w:jc w:val="both"/>
        <w:rPr>
          <w:rFonts w:ascii="Arial" w:hAnsi="Arial" w:cs="Arial"/>
          <w:spacing w:val="2"/>
        </w:rPr>
      </w:pPr>
      <w:r w:rsidRPr="005962B6"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:rsidR="002D2910" w:rsidRPr="005962B6" w:rsidP="002D2910" w14:paraId="5DA06D19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Art. 1° - É obrigatória a manutenção de segurança privada, durante o período de funcionamento dos locais em que houver a instalação de caixas eletrônicos sob a responsabilidade dos estabelecimentos bancários.</w:t>
      </w:r>
    </w:p>
    <w:p w:rsidR="002D2910" w:rsidRPr="005962B6" w:rsidP="002D2910" w14:paraId="6E864088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Parágrafo único: A obrigatoriedade desse artigo se e</w:t>
      </w:r>
      <w:r>
        <w:rPr>
          <w:rFonts w:ascii="Arial" w:eastAsia="Times New Roman" w:hAnsi="Arial" w:cs="Arial"/>
          <w:color w:val="auto"/>
          <w:spacing w:val="2"/>
          <w:lang w:eastAsia="pt-BR"/>
        </w:rPr>
        <w:t>s</w:t>
      </w: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tende às Casas Lotéricas, Casas de Câmbio e Empresas do Mercado de Crédito.</w:t>
      </w:r>
    </w:p>
    <w:p w:rsidR="002D2910" w:rsidRPr="005962B6" w:rsidP="002D2910" w14:paraId="2F668330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Art. 2º - O sistema de segurança referido no artigo anterior incluirá vigilantes armados, alarme ligado com os órgãos de segurança pública ou com a empresa prestadora dos serviços de vigilância e equipamentos de captação de imagens.</w:t>
      </w:r>
    </w:p>
    <w:p w:rsidR="002D2910" w:rsidRPr="005962B6" w:rsidP="002D2910" w14:paraId="0AC3A3EE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Art. 3º - O não cumprimento das disposições desta Lei sujeitará o infrator às seguintes sanções</w:t>
      </w:r>
      <w:r>
        <w:rPr>
          <w:rFonts w:ascii="Arial" w:eastAsia="Times New Roman" w:hAnsi="Arial" w:cs="Arial"/>
          <w:color w:val="auto"/>
          <w:spacing w:val="2"/>
          <w:lang w:eastAsia="pt-BR"/>
        </w:rPr>
        <w:t>, em ordem progressiva de gravidade</w:t>
      </w: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:</w:t>
      </w:r>
    </w:p>
    <w:p w:rsidR="002D2910" w:rsidRPr="005962B6" w:rsidP="002D2910" w14:paraId="0E748C9F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I) Advertência</w:t>
      </w:r>
    </w:p>
    <w:p w:rsidR="002D2910" w:rsidRPr="005962B6" w:rsidP="002D2910" w14:paraId="28437B37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II) Multa de 10.000 (dez mil) UFMS;</w:t>
      </w:r>
    </w:p>
    <w:p w:rsidR="002D2910" w:rsidRPr="005962B6" w:rsidP="002D2910" w14:paraId="3FDAC373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III) O dobro da multa, ou seja, 20.000 (vinte mil) UFMS</w:t>
      </w:r>
      <w:r>
        <w:rPr>
          <w:rFonts w:ascii="Arial" w:eastAsia="Times New Roman" w:hAnsi="Arial" w:cs="Arial"/>
          <w:color w:val="auto"/>
          <w:spacing w:val="2"/>
          <w:lang w:eastAsia="pt-BR"/>
        </w:rPr>
        <w:t>, no caso de reincidência</w:t>
      </w: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;</w:t>
      </w:r>
    </w:p>
    <w:p w:rsidR="002D2910" w:rsidRPr="005962B6" w:rsidP="002D2910" w14:paraId="4688DDC8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IV) Suspensão das atividades pelo prazo de 30 (trinta) dias;</w:t>
      </w:r>
    </w:p>
    <w:p w:rsidR="002D2910" w:rsidRPr="005962B6" w:rsidP="002D2910" w14:paraId="0BB114AE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eastAsia="pt-BR"/>
        </w:rPr>
        <w:t>V) Cassação do Alvará de Funcionamento.</w:t>
      </w:r>
    </w:p>
    <w:p w:rsidR="002D2910" w:rsidRPr="005962B6" w:rsidP="002D2910" w14:paraId="23731494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val="pt-PT" w:eastAsia="pt-BR"/>
        </w:rPr>
      </w:pPr>
    </w:p>
    <w:p w:rsidR="002D2910" w:rsidRPr="005962B6" w:rsidP="002D2910" w14:paraId="10E9428B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val="pt-PT"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val="pt-PT" w:eastAsia="pt-BR"/>
        </w:rPr>
        <w:t>Art. 3º - O Poder Executivo poderá regulamentar a presente lei, no que couber, no prazo de 60 (noventa) dias a contar da data de sua publicação.</w:t>
      </w:r>
    </w:p>
    <w:p w:rsidR="002D2910" w:rsidRPr="005962B6" w:rsidP="002D2910" w14:paraId="5FAA7AA1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val="pt-PT"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val="pt-PT" w:eastAsia="pt-BR"/>
        </w:rPr>
        <w:t>Art. 4 – A fiscalização para o cumprimento da presente Lei e a aplicação das penalidades referidas no artigo 3º ficará a cargo do Poder Executivo por meio dos órgãos competentes.</w:t>
      </w:r>
    </w:p>
    <w:p w:rsidR="002D2910" w:rsidRPr="005962B6" w:rsidP="002D2910" w14:paraId="2A2F4BCE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val="pt-PT" w:eastAsia="pt-BR"/>
        </w:rPr>
      </w:pPr>
      <w:r w:rsidRPr="005962B6">
        <w:rPr>
          <w:rFonts w:ascii="Arial" w:eastAsia="Times New Roman" w:hAnsi="Arial" w:cs="Arial"/>
          <w:color w:val="auto"/>
          <w:spacing w:val="2"/>
          <w:lang w:val="pt-PT" w:eastAsia="pt-BR"/>
        </w:rPr>
        <w:t>Art. 5 - Esta lei entra em vigor na data de sua publicação, revogadas as disposições em contrário.</w:t>
      </w:r>
    </w:p>
    <w:p w:rsidR="002D2910" w:rsidRPr="005962B6" w:rsidP="002D2910" w14:paraId="737BE517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val="pt-PT" w:eastAsia="pt-BR"/>
        </w:rPr>
      </w:pPr>
    </w:p>
    <w:p w:rsidR="002D2910" w:rsidRPr="005962B6" w:rsidP="002D2910" w14:paraId="73109997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val="pt-PT" w:eastAsia="pt-BR"/>
        </w:rPr>
      </w:pPr>
    </w:p>
    <w:p w:rsidR="002D2910" w:rsidRPr="005962B6" w:rsidP="002D2910" w14:paraId="5EE127F8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 w:rsidRPr="005962B6">
        <w:rPr>
          <w:rFonts w:ascii="Arial" w:hAnsi="Arial" w:cs="Arial"/>
          <w:spacing w:val="2"/>
        </w:rPr>
        <w:t xml:space="preserve">Sala das sessões, </w:t>
      </w:r>
      <w:r>
        <w:rPr>
          <w:rFonts w:ascii="Arial" w:hAnsi="Arial" w:cs="Arial"/>
          <w:spacing w:val="2"/>
        </w:rPr>
        <w:t>11</w:t>
      </w:r>
      <w:r w:rsidRPr="005962B6">
        <w:rPr>
          <w:rFonts w:ascii="Arial" w:hAnsi="Arial" w:cs="Arial"/>
          <w:spacing w:val="2"/>
        </w:rPr>
        <w:t xml:space="preserve"> de </w:t>
      </w:r>
      <w:r>
        <w:rPr>
          <w:rFonts w:ascii="Arial" w:hAnsi="Arial" w:cs="Arial"/>
          <w:spacing w:val="2"/>
        </w:rPr>
        <w:t>maio</w:t>
      </w:r>
      <w:r w:rsidRPr="005962B6">
        <w:rPr>
          <w:rFonts w:ascii="Arial" w:hAnsi="Arial" w:cs="Arial"/>
          <w:spacing w:val="2"/>
        </w:rPr>
        <w:t xml:space="preserve"> de 2022.</w:t>
      </w:r>
    </w:p>
    <w:p w:rsidR="002D2910" w:rsidRPr="005962B6" w:rsidP="002D2910" w14:paraId="7EC74781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2D2910" w:rsidRPr="005962B6" w:rsidP="002D2910" w14:paraId="3E0F2E1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D2910" w:rsidRPr="005962B6" w:rsidP="002D2910" w14:paraId="676785D0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2D2910" w:rsidRPr="005962B6" w:rsidP="002D2910" w14:paraId="09856085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2D2910" w:rsidRPr="005962B6" w:rsidP="002D2910" w14:paraId="5CD48DA1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2D2910" w:rsidRPr="005962B6" w:rsidP="002D2910" w14:paraId="614A45F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962B6">
        <w:rPr>
          <w:rFonts w:ascii="Arial" w:hAnsi="Arial" w:cs="Arial"/>
          <w:b/>
        </w:rPr>
        <w:t>SEBASTIÃO ALVES CORREA</w:t>
      </w:r>
    </w:p>
    <w:p w:rsidR="002D2910" w:rsidRPr="005962B6" w:rsidP="002D2910" w14:paraId="796BAEF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5962B6">
        <w:rPr>
          <w:rFonts w:ascii="Arial" w:hAnsi="Arial" w:cs="Arial"/>
          <w:bCs/>
        </w:rPr>
        <w:t>Tião Correa (Vereador - PSDB)</w:t>
      </w:r>
    </w:p>
    <w:p w:rsidR="002D2910" w:rsidRPr="005962B6" w:rsidP="002D2910" w14:paraId="3324DC9A" w14:textId="77777777">
      <w:pPr>
        <w:rPr>
          <w:rFonts w:ascii="Arial" w:eastAsia="Times New Roman" w:hAnsi="Arial" w:cs="Arial"/>
          <w:bCs/>
          <w:sz w:val="24"/>
          <w:szCs w:val="24"/>
        </w:rPr>
      </w:pPr>
      <w:r w:rsidRPr="005962B6">
        <w:rPr>
          <w:rFonts w:ascii="Arial" w:hAnsi="Arial" w:cs="Arial"/>
          <w:bCs/>
          <w:sz w:val="24"/>
          <w:szCs w:val="24"/>
        </w:rPr>
        <w:br w:type="page"/>
      </w:r>
    </w:p>
    <w:p w:rsidR="002D2910" w:rsidRPr="0097217E" w:rsidP="002D2910" w14:paraId="282FDEE2" w14:textId="77777777">
      <w:pPr>
        <w:jc w:val="center"/>
        <w:rPr>
          <w:rFonts w:ascii="Arial" w:hAnsi="Arial" w:cs="Arial"/>
          <w:b/>
          <w:sz w:val="28"/>
          <w:szCs w:val="28"/>
          <w:lang w:val="pt-PT"/>
        </w:rPr>
      </w:pPr>
      <w:r w:rsidRPr="0097217E">
        <w:rPr>
          <w:rFonts w:ascii="Arial" w:hAnsi="Arial" w:cs="Arial"/>
          <w:b/>
          <w:sz w:val="28"/>
          <w:szCs w:val="28"/>
          <w:lang w:val="pt-PT"/>
        </w:rPr>
        <w:t>JUSTIFICATIVA</w:t>
      </w:r>
    </w:p>
    <w:p w:rsidR="002D2910" w:rsidRPr="005962B6" w:rsidP="002D2910" w14:paraId="4F863CE6" w14:textId="77777777">
      <w:pPr>
        <w:jc w:val="center"/>
        <w:rPr>
          <w:rFonts w:ascii="Arial" w:hAnsi="Arial" w:cs="Arial"/>
          <w:b/>
          <w:sz w:val="24"/>
          <w:szCs w:val="24"/>
          <w:lang w:val="pt-PT"/>
        </w:rPr>
      </w:pPr>
    </w:p>
    <w:p w:rsidR="002D2910" w:rsidRPr="005962B6" w:rsidP="002D2910" w14:paraId="6BDB1141" w14:textId="77777777">
      <w:pPr>
        <w:spacing w:before="180" w:line="314" w:lineRule="auto"/>
        <w:ind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>A constância com que vem ocorrendo sequestros relâmpagos, assaltos e rompimento de caixas eletrônicos impulsiona a necessidade de adoção de medidas preventivas para protegermos o patrimônio da população e, sobretudo, a vida e a saúde de nossos cidadãos.</w:t>
      </w:r>
    </w:p>
    <w:p w:rsidR="002D2910" w:rsidRPr="005962B6" w:rsidP="002D2910" w14:paraId="4E31D250" w14:textId="77777777">
      <w:pPr>
        <w:spacing w:before="180" w:line="314" w:lineRule="auto"/>
        <w:ind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>Contudo, o serviço de segurança prestado pelos vigilantes do quadro de funcionários contratados pelos bancos somente funciona quando há expediente interno, fato que demonstra a fragilidade do serviço e o descaso com a segurânça dos clientes durante o uso dos serviços bancários dentro das dependências dessas empresas ou nas dependências parceiras, prestadoras de serviços similares, por exemplo, caixas eletrônicos em supermercados, Casas Lotéricas, Casas de Câmbio e Empresas do Mercado de Crédito.</w:t>
      </w:r>
    </w:p>
    <w:p w:rsidR="002D2910" w:rsidRPr="005962B6" w:rsidP="002D2910" w14:paraId="685E2FE3" w14:textId="77777777">
      <w:pPr>
        <w:spacing w:before="180" w:line="314" w:lineRule="auto"/>
        <w:ind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>Atualmente, o serviço de vigilância parece ser mais voltada à segurança dos funcionários que trabalham no interior do banco. Os vigilantes somente permanecem na instituição bancária até o fim do horário de expediente dos funcionários, e após esse horário, os caixas eletrônicos estão desprovidos de segurança, e os consumidores ficam desprotegidos e vulneráveis aos crimes hoje tão comuns, praticados nas instalações bancárias.</w:t>
      </w:r>
    </w:p>
    <w:p w:rsidR="002D2910" w:rsidRPr="005962B6" w:rsidP="002D2910" w14:paraId="005FF5BB" w14:textId="77777777">
      <w:pPr>
        <w:spacing w:before="180" w:line="314" w:lineRule="auto"/>
        <w:ind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>A Lei Federal 7.102/83 dispõe sobre a segurança em estabelecimentos financeiros, os quais compreendem bancos oficiais ou privados, caixas econômicas, sociedades de crédito, associações de poupança, suas  agências, postos de atendimento, subagências e seções, assim como as cooperativas singulares de crédito e suas respectivas dependências. No art. 2º, entre as indicações propostas para o sistema de segurança, inclui no inciso III “cabina blindada com permanência ininterrupta de vigilante durante o expediente para o público e enquanto houver movimentação de numerário no interior do estabelecimento”. Infelizmente não constatamos em nosso Município o cumprimento desta última indicação nos  bancos de nossa cidade e nos demais estabelecimentos correlacionados.</w:t>
      </w:r>
    </w:p>
    <w:p w:rsidR="002D2910" w:rsidRPr="005962B6" w:rsidP="002D2910" w14:paraId="7C62A760" w14:textId="77777777">
      <w:pPr>
        <w:spacing w:before="180" w:line="314" w:lineRule="auto"/>
        <w:ind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Cabe ainda relatar que a presença de profissionais da área da segurança nas Casas Lotéricas, Casas de Câmbio, Empresas de Mercado do Crédito e Caixas Eletrônicos espalhados nas Lojas de Conveniência dos postos de combustíveis, nos 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>supermercados, hipermercados, shoppings, entre outros estabelecimentos, auxiliam na coibição d</w:t>
      </w:r>
      <w:r>
        <w:rPr>
          <w:rFonts w:ascii="Arial" w:hAnsi="Arial" w:cs="Arial"/>
          <w:spacing w:val="6"/>
          <w:sz w:val="24"/>
          <w:szCs w:val="24"/>
          <w:lang w:val="pt-PT"/>
        </w:rPr>
        <w:t>e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crime</w:t>
      </w:r>
      <w:r>
        <w:rPr>
          <w:rFonts w:ascii="Arial" w:hAnsi="Arial" w:cs="Arial"/>
          <w:spacing w:val="6"/>
          <w:sz w:val="24"/>
          <w:szCs w:val="24"/>
          <w:lang w:val="pt-PT"/>
        </w:rPr>
        <w:t>s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, enquanto devolvem a liberdade que o </w:t>
      </w:r>
      <w:r>
        <w:rPr>
          <w:rFonts w:ascii="Arial" w:hAnsi="Arial" w:cs="Arial"/>
          <w:spacing w:val="6"/>
          <w:sz w:val="24"/>
          <w:szCs w:val="24"/>
          <w:lang w:val="pt-PT"/>
        </w:rPr>
        <w:t>“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>cidadão de bem</w:t>
      </w:r>
      <w:r>
        <w:rPr>
          <w:rFonts w:ascii="Arial" w:hAnsi="Arial" w:cs="Arial"/>
          <w:spacing w:val="6"/>
          <w:sz w:val="24"/>
          <w:szCs w:val="24"/>
          <w:lang w:val="pt-PT"/>
        </w:rPr>
        <w:t>”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nunca deveria ter perdido</w:t>
      </w:r>
      <w:r>
        <w:rPr>
          <w:rFonts w:ascii="Arial" w:hAnsi="Arial" w:cs="Arial"/>
          <w:spacing w:val="6"/>
          <w:sz w:val="24"/>
          <w:szCs w:val="24"/>
          <w:lang w:val="pt-PT"/>
        </w:rPr>
        <w:t>: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</w:t>
      </w:r>
      <w:r>
        <w:rPr>
          <w:rFonts w:ascii="Arial" w:hAnsi="Arial" w:cs="Arial"/>
          <w:spacing w:val="6"/>
          <w:sz w:val="24"/>
          <w:szCs w:val="24"/>
          <w:lang w:val="pt-PT"/>
        </w:rPr>
        <w:t xml:space="preserve">a liberdade 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>de poder utilizar os espaços citados livremente sempre que desejar, sem o receio de ter sua segurança comprometida.</w:t>
      </w:r>
    </w:p>
    <w:p w:rsidR="002D2910" w:rsidP="002D2910" w14:paraId="6FBC00AA" w14:textId="77777777">
      <w:pPr>
        <w:spacing w:before="180" w:line="314" w:lineRule="auto"/>
        <w:ind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O Código de Defesa do Consumidor dispõe em seu art. 6º, inciso </w:t>
      </w:r>
      <w:r>
        <w:rPr>
          <w:rFonts w:ascii="Arial" w:hAnsi="Arial" w:cs="Arial"/>
          <w:spacing w:val="6"/>
          <w:sz w:val="24"/>
          <w:szCs w:val="24"/>
          <w:lang w:val="pt-PT"/>
        </w:rPr>
        <w:t>I,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que é direito básico do consumidor</w:t>
      </w:r>
      <w:r>
        <w:rPr>
          <w:rFonts w:ascii="Arial" w:hAnsi="Arial" w:cs="Arial"/>
          <w:spacing w:val="6"/>
          <w:sz w:val="24"/>
          <w:szCs w:val="24"/>
          <w:lang w:val="pt-PT"/>
        </w:rPr>
        <w:t>:</w:t>
      </w:r>
    </w:p>
    <w:p w:rsidR="002D2910" w:rsidP="002D2910" w14:paraId="1A726C7A" w14:textId="77777777">
      <w:pPr>
        <w:spacing w:before="180" w:line="314" w:lineRule="auto"/>
        <w:ind w:left="2835"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>"</w:t>
      </w:r>
      <w:r>
        <w:rPr>
          <w:rFonts w:ascii="Arial" w:hAnsi="Arial" w:cs="Arial"/>
          <w:spacing w:val="6"/>
          <w:sz w:val="24"/>
          <w:szCs w:val="24"/>
          <w:lang w:val="pt-PT"/>
        </w:rPr>
        <w:t xml:space="preserve">I – a 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proteção da vida, saúde e segurança contra riscos provocados por práticas no fornecimento de produtos e serviços considerados perigosos e nocivos". </w:t>
      </w:r>
    </w:p>
    <w:p w:rsidR="002D2910" w:rsidP="002D2910" w14:paraId="32B83B65" w14:textId="77777777">
      <w:pPr>
        <w:spacing w:before="180" w:line="314" w:lineRule="auto"/>
        <w:ind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>
        <w:rPr>
          <w:rFonts w:ascii="Arial" w:hAnsi="Arial" w:cs="Arial"/>
          <w:spacing w:val="6"/>
          <w:sz w:val="24"/>
          <w:szCs w:val="24"/>
          <w:lang w:val="pt-PT"/>
        </w:rPr>
        <w:t>Na mesma linhagem, o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artigo 14 também responsabiliza os bancos e instituições financeiras, pelo fornecimento defeituoso de seus serviços: </w:t>
      </w:r>
    </w:p>
    <w:p w:rsidR="002D2910" w:rsidRPr="005962B6" w:rsidP="002D2910" w14:paraId="60CB5892" w14:textId="77777777">
      <w:pPr>
        <w:spacing w:before="180" w:line="314" w:lineRule="auto"/>
        <w:ind w:left="2835"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"O fornecedor de serviços responde independentemente da existência de culpa, pela reparação dos danos causados aos consumidores por defeitos relativos à proteção dos serviços, bem como por informações insuficientes ou inadequadas sobre sua fruição e riscos. </w:t>
      </w:r>
    </w:p>
    <w:p w:rsidR="002D2910" w:rsidRPr="005962B6" w:rsidP="002D2910" w14:paraId="7411D2CB" w14:textId="77777777">
      <w:pPr>
        <w:spacing w:before="180" w:line="314" w:lineRule="auto"/>
        <w:ind w:left="2835"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>§ 1</w:t>
      </w:r>
      <w:r>
        <w:rPr>
          <w:rFonts w:ascii="Arial" w:hAnsi="Arial" w:cs="Arial"/>
          <w:spacing w:val="6"/>
          <w:sz w:val="24"/>
          <w:szCs w:val="24"/>
          <w:lang w:val="pt-PT"/>
        </w:rPr>
        <w:t>º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</w:t>
      </w:r>
      <w:r>
        <w:rPr>
          <w:rFonts w:ascii="Arial" w:hAnsi="Arial" w:cs="Arial"/>
          <w:spacing w:val="6"/>
          <w:sz w:val="24"/>
          <w:szCs w:val="24"/>
          <w:lang w:val="pt-PT"/>
        </w:rPr>
        <w:t>O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serviço é defeituoso quando não lbrnece a segurança que o consumidor dele pode esperar, levando-se em consideração as circunstâncias relevantes, entre as quais:</w:t>
      </w:r>
    </w:p>
    <w:p w:rsidR="002D2910" w:rsidRPr="005962B6" w:rsidP="002D2910" w14:paraId="6AD0BC51" w14:textId="77777777">
      <w:pPr>
        <w:spacing w:before="180" w:line="314" w:lineRule="auto"/>
        <w:ind w:left="2835"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>
        <w:rPr>
          <w:rFonts w:ascii="Arial" w:hAnsi="Arial" w:cs="Arial"/>
          <w:spacing w:val="6"/>
          <w:sz w:val="24"/>
          <w:szCs w:val="24"/>
          <w:lang w:val="pt-PT"/>
        </w:rPr>
        <w:t>I -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o modo de seu fornecimento.</w:t>
      </w:r>
      <w:r>
        <w:rPr>
          <w:rFonts w:ascii="Arial" w:hAnsi="Arial" w:cs="Arial"/>
          <w:spacing w:val="6"/>
          <w:sz w:val="24"/>
          <w:szCs w:val="24"/>
          <w:lang w:val="pt-PT"/>
        </w:rPr>
        <w:t xml:space="preserve"> (...)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>"</w:t>
      </w:r>
    </w:p>
    <w:p w:rsidR="002D2910" w:rsidRPr="005962B6" w:rsidP="002D2910" w14:paraId="64D551F4" w14:textId="77777777">
      <w:pPr>
        <w:spacing w:before="180" w:line="314" w:lineRule="auto"/>
        <w:ind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>
        <w:rPr>
          <w:rFonts w:ascii="Arial" w:hAnsi="Arial" w:cs="Arial"/>
          <w:spacing w:val="6"/>
          <w:sz w:val="24"/>
          <w:szCs w:val="24"/>
          <w:lang w:val="pt-PT"/>
        </w:rPr>
        <w:t xml:space="preserve">Cabe lembrar que 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>o Município</w:t>
      </w:r>
      <w:r>
        <w:rPr>
          <w:rFonts w:ascii="Arial" w:hAnsi="Arial" w:cs="Arial"/>
          <w:spacing w:val="6"/>
          <w:sz w:val="24"/>
          <w:szCs w:val="24"/>
          <w:lang w:val="pt-PT"/>
        </w:rPr>
        <w:t xml:space="preserve"> pode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legislar supletivamente sobre elementos de segurança dos estabelecimentos financeiros, u</w:t>
      </w:r>
      <w:r>
        <w:rPr>
          <w:rFonts w:ascii="Arial" w:hAnsi="Arial" w:cs="Arial"/>
          <w:spacing w:val="6"/>
          <w:sz w:val="24"/>
          <w:szCs w:val="24"/>
          <w:lang w:val="pt-PT"/>
        </w:rPr>
        <w:t>m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a vez que se trata de matéria de interesse local, conforme disciplina o artigo 30, incisos </w:t>
      </w:r>
      <w:r>
        <w:rPr>
          <w:rFonts w:ascii="Arial" w:hAnsi="Arial" w:cs="Arial"/>
          <w:spacing w:val="6"/>
          <w:sz w:val="24"/>
          <w:szCs w:val="24"/>
          <w:lang w:val="pt-PT"/>
        </w:rPr>
        <w:t>I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e II da Constituição Federal.</w:t>
      </w:r>
    </w:p>
    <w:p w:rsidR="002D2910" w:rsidRPr="005962B6" w:rsidP="002D2910" w14:paraId="66B5F872" w14:textId="77777777">
      <w:pPr>
        <w:spacing w:before="180" w:line="314" w:lineRule="auto"/>
        <w:ind w:left="2835"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>"Art. 30. Compete aos Municípios:</w:t>
      </w:r>
    </w:p>
    <w:p w:rsidR="002D2910" w:rsidRPr="005962B6" w:rsidP="002D2910" w14:paraId="6E092273" w14:textId="77777777">
      <w:pPr>
        <w:spacing w:before="180" w:line="314" w:lineRule="auto"/>
        <w:ind w:left="2835"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>
        <w:rPr>
          <w:rFonts w:ascii="Arial" w:hAnsi="Arial" w:cs="Arial"/>
          <w:spacing w:val="6"/>
          <w:sz w:val="24"/>
          <w:szCs w:val="24"/>
          <w:lang w:val="pt-PT"/>
        </w:rPr>
        <w:t xml:space="preserve">I 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>- legislar sobre assuntos de interesse local,.</w:t>
      </w:r>
    </w:p>
    <w:p w:rsidR="002D2910" w:rsidRPr="005962B6" w:rsidP="002D2910" w14:paraId="6F7B8B56" w14:textId="77777777">
      <w:pPr>
        <w:spacing w:before="180" w:line="314" w:lineRule="auto"/>
        <w:ind w:left="2835"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>II - suplementar a legislação federal e a estadual no que couber; "</w:t>
      </w:r>
    </w:p>
    <w:p w:rsidR="002D2910" w:rsidRPr="005962B6" w:rsidP="002D2910" w14:paraId="719D624B" w14:textId="77777777">
      <w:pPr>
        <w:spacing w:before="180" w:line="314" w:lineRule="auto"/>
        <w:ind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>Menciona-se também que o referido projeto não criar</w:t>
      </w:r>
      <w:r>
        <w:rPr>
          <w:rFonts w:ascii="Arial" w:hAnsi="Arial" w:cs="Arial"/>
          <w:spacing w:val="6"/>
          <w:sz w:val="24"/>
          <w:szCs w:val="24"/>
          <w:lang w:val="pt-PT"/>
        </w:rPr>
        <w:t>á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qualquer ônus e/ou despesa para o Município. Esse dispositivo vem tutelar a integridade física e os bens das pessoas que se utilizam dos serviços bancários, além de gerar mais empregos e renda para nosso Município, assim como as</w:t>
      </w:r>
      <w:r>
        <w:rPr>
          <w:rFonts w:ascii="Arial" w:hAnsi="Arial" w:cs="Arial"/>
          <w:spacing w:val="6"/>
          <w:sz w:val="24"/>
          <w:szCs w:val="24"/>
          <w:lang w:val="pt-PT"/>
        </w:rPr>
        <w:t xml:space="preserve"> 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>cidades de Natal/RS, Fortaleza/CE, Belo Horizonte/MG, Cuiabá/MT, Santa Maria/RS, São José do Rio Preto/SP, Guarujá</w:t>
      </w:r>
      <w:r>
        <w:rPr>
          <w:rFonts w:ascii="Arial" w:hAnsi="Arial" w:cs="Arial"/>
          <w:spacing w:val="6"/>
          <w:sz w:val="24"/>
          <w:szCs w:val="24"/>
          <w:lang w:val="pt-PT"/>
        </w:rPr>
        <w:t>/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>SP</w:t>
      </w:r>
      <w:r>
        <w:rPr>
          <w:rFonts w:ascii="Arial" w:hAnsi="Arial" w:cs="Arial"/>
          <w:spacing w:val="6"/>
          <w:sz w:val="24"/>
          <w:szCs w:val="24"/>
          <w:lang w:val="pt-PT"/>
        </w:rPr>
        <w:t>,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entre outr</w:t>
      </w:r>
      <w:r>
        <w:rPr>
          <w:rFonts w:ascii="Arial" w:hAnsi="Arial" w:cs="Arial"/>
          <w:spacing w:val="6"/>
          <w:sz w:val="24"/>
          <w:szCs w:val="24"/>
          <w:lang w:val="pt-PT"/>
        </w:rPr>
        <w:t>a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>s, já fizeram aprovando seus projetos de leis tratando do mesmo tema.</w:t>
      </w:r>
    </w:p>
    <w:p w:rsidR="002D2910" w:rsidP="002D2910" w14:paraId="3DD0C16C" w14:textId="77777777">
      <w:pPr>
        <w:spacing w:before="180" w:line="314" w:lineRule="auto"/>
        <w:ind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Desse modo, </w:t>
      </w:r>
      <w:r>
        <w:rPr>
          <w:rFonts w:ascii="Arial" w:hAnsi="Arial" w:cs="Arial"/>
          <w:spacing w:val="6"/>
          <w:sz w:val="24"/>
          <w:szCs w:val="24"/>
          <w:lang w:val="pt-PT"/>
        </w:rPr>
        <w:t xml:space="preserve">é uma grande honra apresentar este Projeto de Lei aos nobres pares 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>com o intuito de aperfeiçoar o funcionamento dessas instituições financeiras</w:t>
      </w:r>
      <w:r>
        <w:rPr>
          <w:rFonts w:ascii="Arial" w:hAnsi="Arial" w:cs="Arial"/>
          <w:spacing w:val="6"/>
          <w:sz w:val="24"/>
          <w:szCs w:val="24"/>
          <w:lang w:val="pt-PT"/>
        </w:rPr>
        <w:t>,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</w:t>
      </w:r>
      <w:r>
        <w:rPr>
          <w:rFonts w:ascii="Arial" w:hAnsi="Arial" w:cs="Arial"/>
          <w:spacing w:val="6"/>
          <w:sz w:val="24"/>
          <w:szCs w:val="24"/>
          <w:lang w:val="pt-PT"/>
        </w:rPr>
        <w:t>visando a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diminuição significativa dos assaltos, a garantia do interesse público, dos direitos individuais, e </w:t>
      </w:r>
      <w:r>
        <w:rPr>
          <w:rFonts w:ascii="Arial" w:hAnsi="Arial" w:cs="Arial"/>
          <w:spacing w:val="6"/>
          <w:sz w:val="24"/>
          <w:szCs w:val="24"/>
          <w:lang w:val="pt-PT"/>
        </w:rPr>
        <w:t>o aquecimento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 xml:space="preserve"> </w:t>
      </w:r>
      <w:r>
        <w:rPr>
          <w:rFonts w:ascii="Arial" w:hAnsi="Arial" w:cs="Arial"/>
          <w:spacing w:val="6"/>
          <w:sz w:val="24"/>
          <w:szCs w:val="24"/>
          <w:lang w:val="pt-PT"/>
        </w:rPr>
        <w:t xml:space="preserve">na </w:t>
      </w:r>
      <w:r w:rsidRPr="005962B6">
        <w:rPr>
          <w:rFonts w:ascii="Arial" w:hAnsi="Arial" w:cs="Arial"/>
          <w:spacing w:val="6"/>
          <w:sz w:val="24"/>
          <w:szCs w:val="24"/>
          <w:lang w:val="pt-PT"/>
        </w:rPr>
        <w:t>geração de emprego e renda.</w:t>
      </w:r>
      <w:r>
        <w:rPr>
          <w:rFonts w:ascii="Arial" w:hAnsi="Arial" w:cs="Arial"/>
          <w:spacing w:val="6"/>
          <w:sz w:val="24"/>
          <w:szCs w:val="24"/>
          <w:lang w:val="pt-PT"/>
        </w:rPr>
        <w:t xml:space="preserve"> </w:t>
      </w:r>
    </w:p>
    <w:p w:rsidR="002D2910" w:rsidRPr="005962B6" w:rsidP="002D2910" w14:paraId="0C990E8D" w14:textId="77777777">
      <w:pPr>
        <w:spacing w:before="180" w:line="314" w:lineRule="auto"/>
        <w:ind w:firstLine="1418"/>
        <w:jc w:val="both"/>
        <w:rPr>
          <w:rFonts w:ascii="Arial" w:hAnsi="Arial" w:cs="Arial"/>
          <w:spacing w:val="6"/>
          <w:sz w:val="24"/>
          <w:szCs w:val="24"/>
          <w:lang w:val="pt-PT"/>
        </w:rPr>
      </w:pPr>
    </w:p>
    <w:p w:rsidR="002D2910" w:rsidRPr="005962B6" w:rsidP="002D2910" w14:paraId="66CFE12E" w14:textId="77777777">
      <w:pPr>
        <w:spacing w:before="180" w:line="314" w:lineRule="auto"/>
        <w:ind w:firstLine="1418"/>
        <w:rPr>
          <w:rFonts w:ascii="Arial" w:hAnsi="Arial" w:cs="Arial"/>
          <w:spacing w:val="6"/>
          <w:sz w:val="24"/>
          <w:szCs w:val="24"/>
          <w:lang w:val="pt-PT"/>
        </w:rPr>
      </w:pPr>
    </w:p>
    <w:p w:rsidR="002D2910" w:rsidRPr="005962B6" w:rsidP="002D2910" w14:paraId="4FFE971F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 w:rsidRPr="005962B6">
        <w:rPr>
          <w:rFonts w:ascii="Arial" w:hAnsi="Arial" w:cs="Arial"/>
          <w:spacing w:val="2"/>
        </w:rPr>
        <w:t xml:space="preserve">Sala das sessões, </w:t>
      </w:r>
      <w:r>
        <w:rPr>
          <w:rFonts w:ascii="Arial" w:hAnsi="Arial" w:cs="Arial"/>
          <w:spacing w:val="2"/>
        </w:rPr>
        <w:t>11</w:t>
      </w:r>
      <w:r w:rsidRPr="005962B6">
        <w:rPr>
          <w:rFonts w:ascii="Arial" w:hAnsi="Arial" w:cs="Arial"/>
          <w:spacing w:val="2"/>
        </w:rPr>
        <w:t xml:space="preserve"> de abril de 2022</w:t>
      </w:r>
    </w:p>
    <w:p w:rsidR="002D2910" w:rsidP="002D2910" w14:paraId="74F8724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2D2910" w:rsidRPr="005962B6" w:rsidP="002D2910" w14:paraId="7A45DF5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2D2910" w:rsidRPr="005962B6" w:rsidP="002D2910" w14:paraId="6596180C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2D2910" w:rsidRPr="005962B6" w:rsidP="002D2910" w14:paraId="4A255F8C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2D2910" w:rsidRPr="005962B6" w:rsidP="002D2910" w14:paraId="16CF59E0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2D2910" w:rsidRPr="005962B6" w:rsidP="002D2910" w14:paraId="2BB79BF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2D2910" w:rsidRPr="005962B6" w:rsidP="002D2910" w14:paraId="3DE68E3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962B6">
        <w:rPr>
          <w:rFonts w:ascii="Arial" w:hAnsi="Arial" w:cs="Arial"/>
          <w:b/>
        </w:rPr>
        <w:t xml:space="preserve">SEBASTIÃO ALVES CORREA </w:t>
      </w:r>
    </w:p>
    <w:p w:rsidR="002D2910" w:rsidRPr="005962B6" w:rsidP="002D2910" w14:paraId="50EBDFF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5962B6">
        <w:rPr>
          <w:rFonts w:ascii="Arial" w:hAnsi="Arial" w:cs="Arial"/>
          <w:bCs/>
        </w:rPr>
        <w:t>Tião Correa (Vereador - PSDB)</w:t>
      </w:r>
    </w:p>
    <w:p w:rsidR="002D2910" w:rsidRPr="005962B6" w:rsidP="002D2910" w14:paraId="03FC528A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A31F2F" w:rsidRPr="00350107" w:rsidP="00350107" w14:paraId="18391F36" w14:textId="5B0CC53A">
      <w:bookmarkStart w:id="1" w:name="_GoBack"/>
      <w:bookmarkEnd w:id="1"/>
      <w:permEnd w:id="0"/>
    </w:p>
    <w:sectPr w:rsidSect="002D291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C7593"/>
    <w:rsid w:val="000D2BDC"/>
    <w:rsid w:val="00104AAA"/>
    <w:rsid w:val="0015657E"/>
    <w:rsid w:val="00156CF8"/>
    <w:rsid w:val="00186C9C"/>
    <w:rsid w:val="002310A0"/>
    <w:rsid w:val="002A34F7"/>
    <w:rsid w:val="002B0165"/>
    <w:rsid w:val="002D2910"/>
    <w:rsid w:val="00350107"/>
    <w:rsid w:val="003960A2"/>
    <w:rsid w:val="00445249"/>
    <w:rsid w:val="00460A32"/>
    <w:rsid w:val="004779D6"/>
    <w:rsid w:val="004B2CC9"/>
    <w:rsid w:val="004B3D2A"/>
    <w:rsid w:val="0051286F"/>
    <w:rsid w:val="005962B6"/>
    <w:rsid w:val="00626437"/>
    <w:rsid w:val="00632FA0"/>
    <w:rsid w:val="0064513C"/>
    <w:rsid w:val="00645D32"/>
    <w:rsid w:val="006C41A4"/>
    <w:rsid w:val="006D1E9A"/>
    <w:rsid w:val="007543FA"/>
    <w:rsid w:val="007A503C"/>
    <w:rsid w:val="007D447B"/>
    <w:rsid w:val="00822396"/>
    <w:rsid w:val="008E7F52"/>
    <w:rsid w:val="0097217E"/>
    <w:rsid w:val="00A06CF2"/>
    <w:rsid w:val="00A14D5F"/>
    <w:rsid w:val="00A31F2F"/>
    <w:rsid w:val="00B4331A"/>
    <w:rsid w:val="00B705E8"/>
    <w:rsid w:val="00C00C1E"/>
    <w:rsid w:val="00C36776"/>
    <w:rsid w:val="00CD6B58"/>
    <w:rsid w:val="00CF401E"/>
    <w:rsid w:val="00CF49F1"/>
    <w:rsid w:val="00D02AD1"/>
    <w:rsid w:val="00D22A33"/>
    <w:rsid w:val="00D32836"/>
    <w:rsid w:val="00D8393A"/>
    <w:rsid w:val="00E52D22"/>
    <w:rsid w:val="00F14588"/>
    <w:rsid w:val="00F47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61BAC-CDA7-440B-BDDD-948BA0C1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1007</Words>
  <Characters>5442</Characters>
  <Application>Microsoft Office Word</Application>
  <DocSecurity>8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2022-03-14T18:04:00Z</cp:lastPrinted>
  <dcterms:created xsi:type="dcterms:W3CDTF">2022-05-11T12:00:00Z</dcterms:created>
  <dcterms:modified xsi:type="dcterms:W3CDTF">2022-05-11T12:00:00Z</dcterms:modified>
</cp:coreProperties>
</file>