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D1F746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B0527F">
        <w:rPr>
          <w:b/>
          <w:bCs/>
          <w:sz w:val="28"/>
          <w:szCs w:val="28"/>
        </w:rPr>
        <w:t>Recapeamento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B0527F">
        <w:rPr>
          <w:sz w:val="28"/>
          <w:szCs w:val="28"/>
        </w:rPr>
        <w:t xml:space="preserve">em todas as ruas do bairro </w:t>
      </w:r>
      <w:r w:rsidR="00C71F97">
        <w:rPr>
          <w:sz w:val="28"/>
          <w:szCs w:val="28"/>
        </w:rPr>
        <w:t>Parque João de Vasconcelos.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924778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</w:t>
      </w:r>
      <w:r w:rsidR="00B0527F">
        <w:rPr>
          <w:sz w:val="28"/>
          <w:szCs w:val="28"/>
        </w:rPr>
        <w:t xml:space="preserve">as ruas do referido bairro. </w:t>
      </w:r>
    </w:p>
    <w:p w:rsidR="00781019" w:rsidRPr="000A77B2" w:rsidP="00781019" w14:paraId="1208711C" w14:textId="2780F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005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2022-05-09T18:56:00Z</dcterms:created>
  <dcterms:modified xsi:type="dcterms:W3CDTF">2022-05-09T18:56:00Z</dcterms:modified>
</cp:coreProperties>
</file>