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150049" w:rsidP="00792776" w14:paraId="7E40ADDA" w14:textId="4BD71E0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>
        <w:rPr>
          <w:rFonts w:ascii="Arial" w:eastAsia="MS Mincho" w:hAnsi="Arial" w:cs="Arial"/>
          <w:b/>
          <w:sz w:val="28"/>
          <w:szCs w:val="28"/>
        </w:rPr>
        <w:t xml:space="preserve">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150049">
        <w:rPr>
          <w:rFonts w:ascii="Arial" w:eastAsia="MS Mincho" w:hAnsi="Arial" w:cs="Arial"/>
          <w:b/>
          <w:sz w:val="28"/>
          <w:szCs w:val="28"/>
        </w:rPr>
        <w:t>Rua Santa Clara, nos cruzamentos com a rua Sidnei Lucio Ribeiro e rua Benedito Teodoro Mendes (ao redor da UPA do Matão) – Matão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5779FF3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77CC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72EA4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B844-3AF2-4C9D-9546-42EA74AC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2022-05-02T18:28:00Z</dcterms:created>
  <dcterms:modified xsi:type="dcterms:W3CDTF">2022-05-02T18:28:00Z</dcterms:modified>
</cp:coreProperties>
</file>