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3F64939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1B4D40">
        <w:rPr>
          <w:rFonts w:ascii="Arial" w:eastAsia="Arial" w:hAnsi="Arial" w:cs="Arial"/>
          <w:b/>
          <w:bCs/>
          <w:color w:val="000000"/>
        </w:rPr>
        <w:t>Formosa</w:t>
      </w:r>
      <w:r w:rsidR="00D74AE1">
        <w:rPr>
          <w:rFonts w:ascii="Arial" w:eastAsia="Arial" w:hAnsi="Arial" w:cs="Arial"/>
          <w:color w:val="000000"/>
        </w:rPr>
        <w:t>,</w:t>
      </w:r>
      <w:r w:rsidR="001B4D40">
        <w:rPr>
          <w:rFonts w:ascii="Arial" w:eastAsia="Arial" w:hAnsi="Arial" w:cs="Arial"/>
          <w:color w:val="000000"/>
        </w:rPr>
        <w:t xml:space="preserve"> da</w:t>
      </w:r>
      <w:r w:rsidR="00D74AE1">
        <w:rPr>
          <w:rFonts w:ascii="Arial" w:eastAsia="Arial" w:hAnsi="Arial" w:cs="Arial"/>
          <w:color w:val="000000"/>
        </w:rPr>
        <w:t xml:space="preserve"> altura do número </w:t>
      </w:r>
      <w:r w:rsidR="001B4D40">
        <w:rPr>
          <w:rFonts w:ascii="Arial" w:eastAsia="Arial" w:hAnsi="Arial" w:cs="Arial"/>
          <w:color w:val="000000"/>
        </w:rPr>
        <w:t>77 a 155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1B4D40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78414B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2022-04-25T13:48:00Z</dcterms:modified>
</cp:coreProperties>
</file>