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D1563B" w:rsidP="005953F7" w14:paraId="5AAD771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bookmarkStart w:id="0" w:name="_Hlk95149074"/>
      <w:permStart w:id="1" w:edGrp="everyone"/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D1563B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AD590C" w:rsidRPr="00D1563B" w:rsidP="005953F7" w14:paraId="10400E04" w14:textId="4F604752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        </w:t>
      </w:r>
    </w:p>
    <w:p w:rsidR="00085D94" w:rsidRPr="00D1563B" w:rsidP="00085D94" w14:paraId="3B9CFB24" w14:textId="39CC12E2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PROJETO DE LEI Nº       </w:t>
      </w:r>
      <w:r w:rsidRPr="00D1563B" w:rsidR="006576B2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/</w:t>
      </w: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202</w:t>
      </w:r>
      <w:r w:rsidRPr="00D1563B" w:rsidR="00A51497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2</w:t>
      </w:r>
    </w:p>
    <w:bookmarkEnd w:id="0"/>
    <w:p w:rsidR="00050DCD" w:rsidP="00F46C8F" w14:paraId="0018878F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:rsidR="00C668BA" w:rsidRPr="00C668BA" w:rsidP="00C668BA" w14:paraId="3ABB62B8" w14:textId="04D644F9">
      <w:pPr>
        <w:ind w:left="3402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“D</w:t>
      </w:r>
      <w:r w:rsidRPr="00C668BA">
        <w:rPr>
          <w:rFonts w:ascii="Arial" w:eastAsia="Times New Roman" w:hAnsi="Arial" w:cs="Arial"/>
          <w:b/>
          <w:sz w:val="28"/>
          <w:szCs w:val="28"/>
          <w:lang w:eastAsia="pt-BR"/>
        </w:rPr>
        <w:t>is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põe</w:t>
      </w:r>
      <w:r w:rsidRPr="00C668B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sobre a criação do memorial da migração nordestina na cidade de </w:t>
      </w:r>
      <w:r w:rsidR="00A326E6">
        <w:rPr>
          <w:rFonts w:ascii="Arial" w:eastAsia="Times New Roman" w:hAnsi="Arial" w:cs="Arial"/>
          <w:b/>
          <w:sz w:val="28"/>
          <w:szCs w:val="28"/>
          <w:lang w:eastAsia="pt-BR"/>
        </w:rPr>
        <w:t>S</w:t>
      </w:r>
      <w:r w:rsidRPr="00C668BA">
        <w:rPr>
          <w:rFonts w:ascii="Arial" w:eastAsia="Times New Roman" w:hAnsi="Arial" w:cs="Arial"/>
          <w:b/>
          <w:sz w:val="28"/>
          <w:szCs w:val="28"/>
          <w:lang w:eastAsia="pt-BR"/>
        </w:rPr>
        <w:t>umaré e d</w:t>
      </w:r>
      <w:r w:rsidR="00A326E6">
        <w:rPr>
          <w:rFonts w:ascii="Arial" w:eastAsia="Times New Roman" w:hAnsi="Arial" w:cs="Arial"/>
          <w:b/>
          <w:sz w:val="28"/>
          <w:szCs w:val="28"/>
          <w:lang w:eastAsia="pt-BR"/>
        </w:rPr>
        <w:t>á</w:t>
      </w:r>
      <w:r w:rsidRPr="00C668B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outras providências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”</w:t>
      </w:r>
      <w:r w:rsidRPr="00C668BA">
        <w:rPr>
          <w:rFonts w:ascii="Arial" w:eastAsia="Times New Roman" w:hAnsi="Arial" w:cs="Arial"/>
          <w:b/>
          <w:sz w:val="28"/>
          <w:szCs w:val="28"/>
          <w:lang w:eastAsia="pt-BR"/>
        </w:rPr>
        <w:t>.</w:t>
      </w:r>
    </w:p>
    <w:p w:rsidR="001677C5" w:rsidP="001677C5" w14:paraId="38761326" w14:textId="7472E05F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F5A4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</w:p>
    <w:p w:rsidR="005E7CDE" w:rsidP="001677C5" w14:paraId="6254106D" w14:textId="4E071624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5E7CDE" w:rsidP="001677C5" w14:paraId="00E9362E" w14:textId="0DD020B0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5E7CDE" w:rsidP="001677C5" w14:paraId="0482A63B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609FA" w:rsidP="001677C5" w14:paraId="70E42872" w14:textId="7BF08FAD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609FA" w:rsidP="001677C5" w14:paraId="56C4E033" w14:textId="59D9E436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609FA" w:rsidRPr="00D915B1" w:rsidP="00E609FA" w14:paraId="12A5CE27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D915B1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>O PREFEITO DO MUNICÍPIO DE SUMARÉ</w:t>
      </w:r>
    </w:p>
    <w:p w:rsidR="00E609FA" w:rsidRPr="00D915B1" w:rsidP="00E609FA" w14:paraId="7DE27340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</w:pPr>
      <w:r w:rsidRPr="00D915B1">
        <w:rPr>
          <w:rFonts w:ascii="Arial" w:eastAsia="Times New Roman" w:hAnsi="Arial" w:cs="Arial"/>
          <w:b/>
          <w:bCs/>
          <w:color w:val="000000" w:themeColor="text1"/>
          <w:spacing w:val="2"/>
          <w:sz w:val="26"/>
          <w:szCs w:val="26"/>
          <w:lang w:eastAsia="pt-BR"/>
        </w:rPr>
        <w:t xml:space="preserve"> </w:t>
      </w:r>
    </w:p>
    <w:p w:rsidR="00E609FA" w:rsidRPr="00D915B1" w:rsidP="00FB744A" w14:paraId="736C4A38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D915B1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 xml:space="preserve">                         Faço saber que a Câmara Municipal de Sumaré aprovou, sanciono e promulgo a seguinte lei:</w:t>
      </w:r>
    </w:p>
    <w:p w:rsidR="00E609FA" w:rsidRPr="00D915B1" w:rsidP="00FB744A" w14:paraId="1C683CCF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</w:p>
    <w:p w:rsidR="00E609FA" w:rsidRPr="00D915B1" w:rsidP="00FB744A" w14:paraId="1714C3BC" w14:textId="77777777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A326E6" w:rsidRPr="00A326E6" w:rsidP="00FB744A" w14:paraId="1EE3ED32" w14:textId="26FCC037">
      <w:p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b/>
          <w:bCs/>
          <w:sz w:val="26"/>
          <w:szCs w:val="26"/>
        </w:rPr>
        <w:t>Art. 1</w:t>
      </w:r>
      <w:r>
        <w:rPr>
          <w:rFonts w:ascii="Arial" w:hAnsi="Arial" w:cs="Arial"/>
          <w:b/>
          <w:bCs/>
          <w:sz w:val="26"/>
          <w:szCs w:val="26"/>
        </w:rPr>
        <w:t xml:space="preserve">º - </w:t>
      </w:r>
      <w:r w:rsidRPr="00A326E6">
        <w:rPr>
          <w:rFonts w:ascii="Arial" w:hAnsi="Arial" w:cs="Arial"/>
          <w:sz w:val="26"/>
          <w:szCs w:val="26"/>
        </w:rPr>
        <w:t>Fica autorizado o Poder Executivo a criar o Memorial da Migração Nordestina no município de Sumaré.</w:t>
      </w:r>
    </w:p>
    <w:p w:rsidR="00A326E6" w:rsidP="00FB744A" w14:paraId="0ED584A4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326E6" w:rsidRPr="00A326E6" w:rsidP="00FB744A" w14:paraId="290F5A00" w14:textId="47A1375B">
      <w:p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b/>
          <w:bCs/>
          <w:sz w:val="26"/>
          <w:szCs w:val="26"/>
        </w:rPr>
        <w:t>Art. 2º</w:t>
      </w:r>
      <w:r>
        <w:rPr>
          <w:rFonts w:ascii="Arial" w:hAnsi="Arial" w:cs="Arial"/>
          <w:b/>
          <w:bCs/>
          <w:sz w:val="26"/>
          <w:szCs w:val="26"/>
        </w:rPr>
        <w:t xml:space="preserve"> -</w:t>
      </w:r>
      <w:r w:rsidRPr="00A326E6">
        <w:rPr>
          <w:rFonts w:ascii="Arial" w:hAnsi="Arial" w:cs="Arial"/>
          <w:sz w:val="26"/>
          <w:szCs w:val="26"/>
        </w:rPr>
        <w:t xml:space="preserve"> São objetivos precípuos do Memorial da Migração Nordestina: </w:t>
      </w:r>
    </w:p>
    <w:p w:rsidR="00A326E6" w:rsidRPr="00A326E6" w:rsidP="00FB744A" w14:paraId="4CFC8CBD" w14:textId="1444AB0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sz w:val="26"/>
          <w:szCs w:val="26"/>
        </w:rPr>
        <w:t xml:space="preserve">preservar a memória </w:t>
      </w:r>
      <w:r>
        <w:rPr>
          <w:rFonts w:ascii="Arial" w:hAnsi="Arial" w:cs="Arial"/>
          <w:sz w:val="26"/>
          <w:szCs w:val="26"/>
        </w:rPr>
        <w:t>d</w:t>
      </w:r>
      <w:r w:rsidRPr="00A326E6">
        <w:rPr>
          <w:rFonts w:ascii="Arial" w:hAnsi="Arial" w:cs="Arial"/>
          <w:sz w:val="26"/>
          <w:szCs w:val="26"/>
        </w:rPr>
        <w:t xml:space="preserve">as centenas de nordestinos que migraram para este município; </w:t>
      </w:r>
    </w:p>
    <w:p w:rsidR="00A326E6" w:rsidRPr="00A326E6" w:rsidP="00FB744A" w14:paraId="0FB0073B" w14:textId="7777777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sz w:val="26"/>
          <w:szCs w:val="26"/>
        </w:rPr>
        <w:t>prestar homenagem aos migrantes nordestinos pelo seu trabalho na formação e desenvolvimento da cidade de Sumaré;</w:t>
      </w:r>
    </w:p>
    <w:p w:rsidR="00A326E6" w:rsidRPr="00A326E6" w:rsidP="00FB744A" w14:paraId="6F120A5E" w14:textId="7777777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sz w:val="26"/>
          <w:szCs w:val="26"/>
        </w:rPr>
        <w:t>registrar historicamente as imagens e documentos da migração nordestina;</w:t>
      </w:r>
    </w:p>
    <w:p w:rsidR="00A326E6" w:rsidRPr="00A326E6" w:rsidP="00FB744A" w14:paraId="2224B13C" w14:textId="7777777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sz w:val="26"/>
          <w:szCs w:val="26"/>
        </w:rPr>
        <w:t>oferecer aos sumareenses, aos migrantes e seus descentes um espaço de memória e de homenagem aos migrantes nordestinos;</w:t>
      </w:r>
    </w:p>
    <w:p w:rsidR="00A326E6" w:rsidRPr="00A326E6" w:rsidP="00FB744A" w14:paraId="74B012A6" w14:textId="7777777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sz w:val="26"/>
          <w:szCs w:val="26"/>
        </w:rPr>
        <w:t>homenagear grandes personalidades nordestinas que migraram e contribuíram com o desenvolvimento do Município de Sumaré.</w:t>
      </w:r>
    </w:p>
    <w:p w:rsidR="00A326E6" w:rsidP="00FB744A" w14:paraId="23B2A12D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326E6" w:rsidP="00FB744A" w14:paraId="5DC927AC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326E6" w:rsidRPr="00A326E6" w:rsidP="00FB744A" w14:paraId="21C871ED" w14:textId="4318FB98">
      <w:p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b/>
          <w:bCs/>
          <w:sz w:val="26"/>
          <w:szCs w:val="26"/>
        </w:rPr>
        <w:t>Art. 3º</w:t>
      </w:r>
      <w:r>
        <w:rPr>
          <w:rFonts w:ascii="Arial" w:hAnsi="Arial" w:cs="Arial"/>
          <w:sz w:val="26"/>
          <w:szCs w:val="26"/>
        </w:rPr>
        <w:t xml:space="preserve"> </w:t>
      </w:r>
      <w:r w:rsidRPr="00A326E6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</w:t>
      </w:r>
      <w:r w:rsidRPr="00A326E6">
        <w:rPr>
          <w:rFonts w:ascii="Arial" w:hAnsi="Arial" w:cs="Arial"/>
          <w:sz w:val="26"/>
          <w:szCs w:val="26"/>
        </w:rPr>
        <w:t xml:space="preserve">Deverá ser criado </w:t>
      </w:r>
      <w:r>
        <w:rPr>
          <w:rFonts w:ascii="Arial" w:hAnsi="Arial" w:cs="Arial"/>
          <w:sz w:val="26"/>
          <w:szCs w:val="26"/>
        </w:rPr>
        <w:t xml:space="preserve">o </w:t>
      </w:r>
      <w:r w:rsidRPr="00A326E6">
        <w:rPr>
          <w:rFonts w:ascii="Arial" w:hAnsi="Arial" w:cs="Arial"/>
          <w:sz w:val="26"/>
          <w:szCs w:val="26"/>
        </w:rPr>
        <w:t xml:space="preserve">Memorial Virtual da Migração Nordestina no Município de Sumaré, por meio de página oficial do Poder Executivo na internet, em correspondência aos equipamentos públicos dispostos nesta Lei, na forma dos </w:t>
      </w:r>
      <w:r w:rsidRPr="00A326E6">
        <w:rPr>
          <w:rFonts w:ascii="Arial" w:hAnsi="Arial" w:cs="Arial"/>
          <w:sz w:val="26"/>
          <w:szCs w:val="26"/>
        </w:rPr>
        <w:t>arts</w:t>
      </w:r>
      <w:r w:rsidRPr="00A326E6">
        <w:rPr>
          <w:rFonts w:ascii="Arial" w:hAnsi="Arial" w:cs="Arial"/>
          <w:sz w:val="26"/>
          <w:szCs w:val="26"/>
        </w:rPr>
        <w:t xml:space="preserve">. 1º e 2º. </w:t>
      </w:r>
    </w:p>
    <w:p w:rsidR="00A326E6" w:rsidP="00FB744A" w14:paraId="4250CFDF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326E6" w:rsidRPr="00A326E6" w:rsidP="00FB744A" w14:paraId="21C7623F" w14:textId="304E2E3E">
      <w:p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b/>
          <w:bCs/>
          <w:sz w:val="26"/>
          <w:szCs w:val="26"/>
        </w:rPr>
        <w:t>Art. 4º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-</w:t>
      </w:r>
      <w:r w:rsidRPr="00A326E6">
        <w:rPr>
          <w:rFonts w:ascii="Arial" w:hAnsi="Arial" w:cs="Arial"/>
          <w:sz w:val="26"/>
          <w:szCs w:val="26"/>
        </w:rPr>
        <w:t xml:space="preserve"> Caberá à Secretaria Municipal de Cultura do Município de Sumaré a implantação do espaço físico e espaço virtual do Memorial, a que se referem os art. 2º a 3º desta Lei. </w:t>
      </w:r>
    </w:p>
    <w:p w:rsidR="00A326E6" w:rsidP="00FB744A" w14:paraId="0667C034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326E6" w:rsidRPr="00A326E6" w:rsidP="00FB744A" w14:paraId="7910D9DC" w14:textId="31438590">
      <w:p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b/>
          <w:bCs/>
          <w:sz w:val="26"/>
          <w:szCs w:val="26"/>
        </w:rPr>
        <w:t>Art. 5º</w:t>
      </w:r>
      <w:r w:rsidRPr="00A326E6">
        <w:rPr>
          <w:rFonts w:ascii="Arial" w:hAnsi="Arial" w:cs="Arial"/>
          <w:sz w:val="26"/>
          <w:szCs w:val="26"/>
        </w:rPr>
        <w:t xml:space="preserve"> </w:t>
      </w:r>
      <w:r w:rsidRPr="00A326E6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</w:t>
      </w:r>
      <w:r w:rsidRPr="00A326E6">
        <w:rPr>
          <w:rFonts w:ascii="Arial" w:hAnsi="Arial" w:cs="Arial"/>
          <w:sz w:val="26"/>
          <w:szCs w:val="26"/>
        </w:rPr>
        <w:t xml:space="preserve">As despesas decorrentes da execução desta Lei correrão por conta das dotações orçamentárias próprias, suplementadas, se necessário. </w:t>
      </w:r>
    </w:p>
    <w:p w:rsidR="00A326E6" w:rsidP="00FB744A" w14:paraId="5E5C37F6" w14:textId="7777777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326E6" w:rsidRPr="00A326E6" w:rsidP="00FB744A" w14:paraId="1682B7FF" w14:textId="55454B07">
      <w:pPr>
        <w:jc w:val="both"/>
        <w:rPr>
          <w:rFonts w:ascii="Arial" w:hAnsi="Arial" w:cs="Arial"/>
          <w:sz w:val="26"/>
          <w:szCs w:val="26"/>
        </w:rPr>
      </w:pPr>
      <w:r w:rsidRPr="00A326E6">
        <w:rPr>
          <w:rFonts w:ascii="Arial" w:hAnsi="Arial" w:cs="Arial"/>
          <w:b/>
          <w:bCs/>
          <w:sz w:val="26"/>
          <w:szCs w:val="26"/>
        </w:rPr>
        <w:t>Art. 6º</w:t>
      </w:r>
      <w:r w:rsidRPr="00A326E6">
        <w:rPr>
          <w:rFonts w:ascii="Arial" w:hAnsi="Arial" w:cs="Arial"/>
          <w:sz w:val="26"/>
          <w:szCs w:val="26"/>
        </w:rPr>
        <w:t xml:space="preserve"> </w:t>
      </w:r>
      <w:r w:rsidRPr="00A326E6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</w:t>
      </w:r>
      <w:r w:rsidRPr="00A326E6">
        <w:rPr>
          <w:rFonts w:ascii="Arial" w:hAnsi="Arial" w:cs="Arial"/>
          <w:sz w:val="26"/>
          <w:szCs w:val="26"/>
        </w:rPr>
        <w:t>Esta Lei entra em vigor na data de sua publicação.</w:t>
      </w:r>
    </w:p>
    <w:p w:rsidR="00D915B1" w:rsidP="00FB744A" w14:paraId="72B5D3CA" w14:textId="2FD97AD8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915B1">
        <w:rPr>
          <w:rFonts w:ascii="Arial" w:hAnsi="Arial" w:cs="Arial"/>
          <w:sz w:val="26"/>
          <w:szCs w:val="26"/>
        </w:rPr>
        <w:t xml:space="preserve"> </w:t>
      </w:r>
    </w:p>
    <w:p w:rsidR="005E7CDE" w:rsidP="00FB744A" w14:paraId="7E4F1C7D" w14:textId="3C04E733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5E7CDE" w:rsidRPr="00D915B1" w:rsidP="00FB744A" w14:paraId="23267475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915B1" w:rsidRPr="00D915B1" w:rsidP="00E609FA" w14:paraId="1C1F7C3B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915B1" w:rsidRPr="00D915B1" w:rsidP="00E609FA" w14:paraId="11B9CACD" w14:textId="44E238C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915B1">
        <w:rPr>
          <w:rFonts w:ascii="Arial" w:hAnsi="Arial" w:cs="Arial"/>
          <w:sz w:val="26"/>
          <w:szCs w:val="26"/>
        </w:rPr>
        <w:t xml:space="preserve">Sala das Sessões, </w:t>
      </w:r>
      <w:r w:rsidR="00A326E6">
        <w:rPr>
          <w:rFonts w:ascii="Arial" w:hAnsi="Arial" w:cs="Arial"/>
          <w:sz w:val="26"/>
          <w:szCs w:val="26"/>
        </w:rPr>
        <w:t>19</w:t>
      </w:r>
      <w:r w:rsidRPr="00D915B1">
        <w:rPr>
          <w:rFonts w:ascii="Arial" w:hAnsi="Arial" w:cs="Arial"/>
          <w:sz w:val="26"/>
          <w:szCs w:val="26"/>
        </w:rPr>
        <w:t xml:space="preserve"> </w:t>
      </w:r>
      <w:r w:rsidRPr="00D915B1">
        <w:rPr>
          <w:rFonts w:ascii="Arial" w:hAnsi="Arial" w:cs="Arial"/>
          <w:sz w:val="26"/>
          <w:szCs w:val="26"/>
        </w:rPr>
        <w:t xml:space="preserve">de </w:t>
      </w:r>
      <w:r w:rsidR="00CC7227">
        <w:rPr>
          <w:rFonts w:ascii="Arial" w:hAnsi="Arial" w:cs="Arial"/>
          <w:sz w:val="26"/>
          <w:szCs w:val="26"/>
        </w:rPr>
        <w:t>abril</w:t>
      </w:r>
      <w:r w:rsidRPr="00D915B1">
        <w:rPr>
          <w:rFonts w:ascii="Arial" w:hAnsi="Arial" w:cs="Arial"/>
          <w:sz w:val="26"/>
          <w:szCs w:val="26"/>
        </w:rPr>
        <w:t xml:space="preserve"> de 202</w:t>
      </w:r>
      <w:r w:rsidR="00CC7227">
        <w:rPr>
          <w:rFonts w:ascii="Arial" w:hAnsi="Arial" w:cs="Arial"/>
          <w:sz w:val="26"/>
          <w:szCs w:val="26"/>
        </w:rPr>
        <w:t>2</w:t>
      </w:r>
      <w:r w:rsidRPr="00D915B1">
        <w:rPr>
          <w:rFonts w:ascii="Arial" w:hAnsi="Arial" w:cs="Arial"/>
          <w:sz w:val="26"/>
          <w:szCs w:val="26"/>
        </w:rPr>
        <w:t>.</w:t>
      </w:r>
    </w:p>
    <w:p w:rsidR="00D915B1" w:rsidRPr="00D915B1" w:rsidP="00E609FA" w14:paraId="48BD750F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915B1" w:rsidRPr="00D915B1" w:rsidP="00E609FA" w14:paraId="76C77F65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915B1" w:rsidP="00E609FA" w14:paraId="6A91D9B3" w14:textId="0D2111A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C7227" w:rsidP="00E609FA" w14:paraId="48AEA967" w14:textId="6FA5B2A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C7227" w:rsidP="00E609FA" w14:paraId="42C48405" w14:textId="08098052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C7227" w:rsidP="00E609FA" w14:paraId="6F8C8EB8" w14:textId="61CCDD0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 xml:space="preserve">                       </w:t>
      </w:r>
      <w:r w:rsidRPr="00601BC6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0886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227" w:rsidP="00E609FA" w14:paraId="4B707BDD" w14:textId="354CAD1F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C7227" w:rsidRPr="00601BC6" w:rsidP="00CC7227" w14:paraId="5137D076" w14:textId="3172A61E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601BC6">
        <w:rPr>
          <w:rFonts w:ascii="Arial" w:hAnsi="Arial" w:cs="Arial"/>
          <w:b/>
          <w:sz w:val="26"/>
          <w:szCs w:val="26"/>
        </w:rPr>
        <w:t>SIRINEU ARAUJO</w:t>
      </w:r>
    </w:p>
    <w:p w:rsidR="00CC7227" w:rsidP="00CC7227" w14:paraId="654519C1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601BC6">
        <w:rPr>
          <w:rFonts w:ascii="Arial" w:hAnsi="Arial" w:cs="Arial"/>
          <w:b/>
          <w:sz w:val="26"/>
          <w:szCs w:val="26"/>
        </w:rPr>
        <w:t>Vereador (PL)</w:t>
      </w:r>
    </w:p>
    <w:p w:rsidR="00CC7227" w:rsidP="00CC7227" w14:paraId="26F9E79E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A326E6" w:rsidP="00A326E6" w14:paraId="6E02A750" w14:textId="77777777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D915B1" w:rsidRPr="00CC7227" w:rsidP="00A326E6" w14:paraId="1A593C92" w14:textId="76427154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CC7227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D915B1" w:rsidRPr="00D915B1" w:rsidP="00E609FA" w14:paraId="6FA26700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A326E6" w:rsidRPr="00A326E6" w:rsidP="00A326E6" w14:paraId="2AF2E6EF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02124"/>
          <w:sz w:val="26"/>
          <w:szCs w:val="26"/>
          <w:lang w:eastAsia="pt-BR"/>
        </w:rPr>
      </w:pP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O objetivo da proposta de criação do Memorial da Migração Nordestina na Cidade de Sumaré é preservar a memória e reconhecer a contribuição dos nordestinos que migraram de seus diferentes estados para a região Sudeste, em especial, para o município de Sumaré.</w:t>
      </w:r>
    </w:p>
    <w:p w:rsidR="00A326E6" w:rsidRPr="00A326E6" w:rsidP="00A326E6" w14:paraId="43921BBE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02124"/>
          <w:sz w:val="26"/>
          <w:szCs w:val="26"/>
          <w:lang w:eastAsia="pt-BR"/>
        </w:rPr>
      </w:pP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Assim este novo espaço erguido aos migrantes nordestinos pretende criar um espaço de reflexão e aprendizado sobre essa migração interna que carece de registros históricos e preservação da memória histórica de tal fenômeno.</w:t>
      </w:r>
    </w:p>
    <w:p w:rsidR="00A326E6" w:rsidRPr="00A326E6" w:rsidP="00A326E6" w14:paraId="573F1559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02124"/>
          <w:sz w:val="26"/>
          <w:szCs w:val="26"/>
          <w:lang w:eastAsia="pt-BR"/>
        </w:rPr>
      </w:pP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Desta forma, é necessária a criação de tal Memorial, com a finalidade de levar à população sumareense e turistas, a história, a música, a cultura e a tradição, para que os nordestinos e seus descendentes possam resgatar com toda a amplitude a cultura da região nordestina.</w:t>
      </w:r>
    </w:p>
    <w:p w:rsidR="00A326E6" w:rsidRPr="00A326E6" w:rsidP="00A326E6" w14:paraId="2A22E28E" w14:textId="3DD9B1A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02124"/>
          <w:sz w:val="26"/>
          <w:szCs w:val="26"/>
          <w:lang w:eastAsia="pt-BR"/>
        </w:rPr>
      </w:pP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 xml:space="preserve">A criação </w:t>
      </w:r>
      <w:r w:rsidR="0065609B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do M</w:t>
      </w: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 xml:space="preserve">emorial da </w:t>
      </w:r>
      <w:r w:rsidR="0065609B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M</w:t>
      </w: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 xml:space="preserve">igração </w:t>
      </w:r>
      <w:r w:rsidR="0065609B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N</w:t>
      </w: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 xml:space="preserve">ordestina seria a retribuição mais justa aos nordestinos pelo trabalho e pelo consequente progresso que os mesmos proporcionaram e proporcionam a </w:t>
      </w:r>
      <w:r w:rsidR="0065609B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c</w:t>
      </w: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idade de Sumaré.</w:t>
      </w:r>
    </w:p>
    <w:p w:rsidR="00A326E6" w:rsidRPr="00A326E6" w:rsidP="00A326E6" w14:paraId="175A38A8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02124"/>
          <w:sz w:val="26"/>
          <w:szCs w:val="26"/>
          <w:lang w:eastAsia="pt-BR"/>
        </w:rPr>
      </w:pPr>
      <w:r w:rsidRPr="00A326E6">
        <w:rPr>
          <w:rFonts w:ascii="Arial" w:eastAsia="Times New Roman" w:hAnsi="Arial" w:cs="Arial"/>
          <w:color w:val="202124"/>
          <w:sz w:val="26"/>
          <w:szCs w:val="26"/>
          <w:lang w:eastAsia="pt-BR"/>
        </w:rPr>
        <w:t>Desta maneira, considerando a importância deste Memorial para preservar a memória e a contribuição da migração nordestina, submetemos este Projeto de Lei para análise e aprovação desta Casa Legislativa.</w:t>
      </w:r>
    </w:p>
    <w:p w:rsidR="00D915B1" w:rsidP="00E609FA" w14:paraId="3F9E1B31" w14:textId="6B490ED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677C5" w:rsidRPr="001677C5" w:rsidP="00A326E6" w14:paraId="49E27D39" w14:textId="6EE9B231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Sala das Sessões, </w:t>
      </w:r>
      <w:r w:rsidR="00A326E6">
        <w:rPr>
          <w:rFonts w:ascii="Arial" w:eastAsia="Times New Roman" w:hAnsi="Arial" w:cs="Arial"/>
          <w:sz w:val="26"/>
          <w:szCs w:val="26"/>
          <w:lang w:eastAsia="pt-BR"/>
        </w:rPr>
        <w:t>19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 de </w:t>
      </w:r>
      <w:r w:rsidR="00CC7227">
        <w:rPr>
          <w:rFonts w:ascii="Arial" w:eastAsia="Times New Roman" w:hAnsi="Arial" w:cs="Arial"/>
          <w:sz w:val="26"/>
          <w:szCs w:val="26"/>
          <w:lang w:eastAsia="pt-BR"/>
        </w:rPr>
        <w:t>abril</w:t>
      </w:r>
      <w:r w:rsidRPr="001677C5">
        <w:rPr>
          <w:rFonts w:ascii="Arial" w:eastAsia="Times New Roman" w:hAnsi="Arial" w:cs="Arial"/>
          <w:sz w:val="26"/>
          <w:szCs w:val="26"/>
          <w:lang w:eastAsia="pt-BR"/>
        </w:rPr>
        <w:t xml:space="preserve"> de 202</w:t>
      </w:r>
      <w:r w:rsidR="0077267C">
        <w:rPr>
          <w:rFonts w:ascii="Arial" w:eastAsia="Times New Roman" w:hAnsi="Arial" w:cs="Arial"/>
          <w:sz w:val="26"/>
          <w:szCs w:val="26"/>
          <w:lang w:eastAsia="pt-BR"/>
        </w:rPr>
        <w:t>2</w:t>
      </w:r>
    </w:p>
    <w:p w:rsidR="001677C5" w:rsidRPr="001677C5" w:rsidP="001677C5" w14:paraId="10EAC30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1949D7A4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40E2631A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1677C5" w:rsidP="001677C5" w14:paraId="4800C2F2" w14:textId="75B7B614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  <w:r w:rsidRPr="00601BC6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604929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139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C5" w:rsidRPr="001677C5" w:rsidP="001677C5" w14:paraId="2425C54C" w14:textId="77777777">
      <w:pPr>
        <w:spacing w:after="0" w:line="240" w:lineRule="auto"/>
        <w:ind w:firstLine="2268"/>
        <w:jc w:val="center"/>
        <w:rPr>
          <w:rFonts w:ascii="Arial" w:eastAsia="Times New Roman" w:hAnsi="Arial" w:cs="Arial"/>
          <w:bCs/>
          <w:sz w:val="26"/>
          <w:szCs w:val="26"/>
          <w:lang w:eastAsia="pt-BR"/>
        </w:rPr>
      </w:pPr>
    </w:p>
    <w:p w:rsidR="001677C5" w:rsidRPr="001677C5" w:rsidP="001677C5" w14:paraId="580EACA8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601BC6" w:rsidP="0077267C" w14:paraId="42EEF09C" w14:textId="265B7F5A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601BC6">
        <w:rPr>
          <w:rFonts w:ascii="Arial" w:hAnsi="Arial" w:cs="Arial"/>
          <w:b/>
          <w:sz w:val="26"/>
          <w:szCs w:val="26"/>
        </w:rPr>
        <w:t>SIRINEU ARAUJO</w:t>
      </w:r>
    </w:p>
    <w:p w:rsidR="001677C5" w:rsidRPr="001677C5" w:rsidP="00A326E6" w14:paraId="1BFFB42C" w14:textId="1665E575">
      <w:pPr>
        <w:spacing w:after="200" w:line="276" w:lineRule="auto"/>
        <w:ind w:left="709" w:right="-142" w:firstLine="2126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601BC6">
        <w:rPr>
          <w:rFonts w:ascii="Arial" w:hAnsi="Arial" w:cs="Arial"/>
          <w:b/>
          <w:sz w:val="26"/>
          <w:szCs w:val="26"/>
        </w:rPr>
        <w:t>Vereador (PL)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12C76"/>
    <w:multiLevelType w:val="hybridMultilevel"/>
    <w:tmpl w:val="022491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4961"/>
    <w:rsid w:val="00085D94"/>
    <w:rsid w:val="000B1957"/>
    <w:rsid w:val="000D2BDC"/>
    <w:rsid w:val="000E2080"/>
    <w:rsid w:val="000F5928"/>
    <w:rsid w:val="00104AAA"/>
    <w:rsid w:val="00144638"/>
    <w:rsid w:val="00147B64"/>
    <w:rsid w:val="0015657E"/>
    <w:rsid w:val="00156CF8"/>
    <w:rsid w:val="0016318A"/>
    <w:rsid w:val="001677C5"/>
    <w:rsid w:val="001935E6"/>
    <w:rsid w:val="001F1075"/>
    <w:rsid w:val="00203E42"/>
    <w:rsid w:val="00204046"/>
    <w:rsid w:val="00221976"/>
    <w:rsid w:val="002531F4"/>
    <w:rsid w:val="002A1D9B"/>
    <w:rsid w:val="002B59BB"/>
    <w:rsid w:val="002F4B5A"/>
    <w:rsid w:val="00325AC6"/>
    <w:rsid w:val="003345E4"/>
    <w:rsid w:val="00460A32"/>
    <w:rsid w:val="004B2CC9"/>
    <w:rsid w:val="004D6B9C"/>
    <w:rsid w:val="004E040E"/>
    <w:rsid w:val="004E3701"/>
    <w:rsid w:val="0051286F"/>
    <w:rsid w:val="005365A6"/>
    <w:rsid w:val="005660F5"/>
    <w:rsid w:val="0057046B"/>
    <w:rsid w:val="00581DA6"/>
    <w:rsid w:val="005953F7"/>
    <w:rsid w:val="005D010E"/>
    <w:rsid w:val="005E7CDE"/>
    <w:rsid w:val="005F228C"/>
    <w:rsid w:val="00601B0A"/>
    <w:rsid w:val="00601BC6"/>
    <w:rsid w:val="00626437"/>
    <w:rsid w:val="00632FA0"/>
    <w:rsid w:val="0065609B"/>
    <w:rsid w:val="006576B2"/>
    <w:rsid w:val="00685699"/>
    <w:rsid w:val="006C41A4"/>
    <w:rsid w:val="006D1E9A"/>
    <w:rsid w:val="00715F47"/>
    <w:rsid w:val="0072135E"/>
    <w:rsid w:val="00723A0C"/>
    <w:rsid w:val="00767CF2"/>
    <w:rsid w:val="0077267C"/>
    <w:rsid w:val="007A3348"/>
    <w:rsid w:val="007D65BB"/>
    <w:rsid w:val="007F58C6"/>
    <w:rsid w:val="007F5FAC"/>
    <w:rsid w:val="008026D2"/>
    <w:rsid w:val="008203DD"/>
    <w:rsid w:val="00822396"/>
    <w:rsid w:val="00822FBD"/>
    <w:rsid w:val="008343C5"/>
    <w:rsid w:val="008746D5"/>
    <w:rsid w:val="008B4B04"/>
    <w:rsid w:val="009271C0"/>
    <w:rsid w:val="00927730"/>
    <w:rsid w:val="00934D95"/>
    <w:rsid w:val="009362AF"/>
    <w:rsid w:val="00975F7E"/>
    <w:rsid w:val="00976AFD"/>
    <w:rsid w:val="009B2157"/>
    <w:rsid w:val="00A06CF2"/>
    <w:rsid w:val="00A326E6"/>
    <w:rsid w:val="00A51497"/>
    <w:rsid w:val="00A6032A"/>
    <w:rsid w:val="00A80F5D"/>
    <w:rsid w:val="00AB2838"/>
    <w:rsid w:val="00AD31AE"/>
    <w:rsid w:val="00AD590C"/>
    <w:rsid w:val="00AE6AEE"/>
    <w:rsid w:val="00AF6DFB"/>
    <w:rsid w:val="00B420D8"/>
    <w:rsid w:val="00BE2F09"/>
    <w:rsid w:val="00BE741F"/>
    <w:rsid w:val="00C00C1E"/>
    <w:rsid w:val="00C264D6"/>
    <w:rsid w:val="00C36410"/>
    <w:rsid w:val="00C36776"/>
    <w:rsid w:val="00C37D9D"/>
    <w:rsid w:val="00C668BA"/>
    <w:rsid w:val="00C71E8C"/>
    <w:rsid w:val="00C86F44"/>
    <w:rsid w:val="00CC7227"/>
    <w:rsid w:val="00CD396E"/>
    <w:rsid w:val="00CD6B58"/>
    <w:rsid w:val="00CE6A81"/>
    <w:rsid w:val="00CF401E"/>
    <w:rsid w:val="00CF40E9"/>
    <w:rsid w:val="00CF5A43"/>
    <w:rsid w:val="00D028E4"/>
    <w:rsid w:val="00D1563B"/>
    <w:rsid w:val="00D34F42"/>
    <w:rsid w:val="00D5161F"/>
    <w:rsid w:val="00D6066A"/>
    <w:rsid w:val="00D6467C"/>
    <w:rsid w:val="00D915B1"/>
    <w:rsid w:val="00DA564F"/>
    <w:rsid w:val="00DB3F9B"/>
    <w:rsid w:val="00E023FE"/>
    <w:rsid w:val="00E02F19"/>
    <w:rsid w:val="00E067E3"/>
    <w:rsid w:val="00E1543F"/>
    <w:rsid w:val="00E457D2"/>
    <w:rsid w:val="00E55116"/>
    <w:rsid w:val="00E609FA"/>
    <w:rsid w:val="00E66448"/>
    <w:rsid w:val="00E67466"/>
    <w:rsid w:val="00E705D1"/>
    <w:rsid w:val="00EE1E78"/>
    <w:rsid w:val="00EF7FE4"/>
    <w:rsid w:val="00F227EE"/>
    <w:rsid w:val="00F46C8F"/>
    <w:rsid w:val="00F525C4"/>
    <w:rsid w:val="00F857FD"/>
    <w:rsid w:val="00FB744A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96FD0-4C00-4C78-BF9A-FD1CAD1D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2634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2022-03-21T13:52:00Z</cp:lastPrinted>
  <dcterms:created xsi:type="dcterms:W3CDTF">2022-04-19T13:18:00Z</dcterms:created>
  <dcterms:modified xsi:type="dcterms:W3CDTF">2022-04-19T13:18:00Z</dcterms:modified>
</cp:coreProperties>
</file>