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6D87E01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40094">
        <w:rPr>
          <w:rFonts w:ascii="Arial" w:hAnsi="Arial" w:cs="Arial"/>
          <w:sz w:val="24"/>
          <w:szCs w:val="24"/>
        </w:rPr>
        <w:t>conclusão de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440094">
        <w:rPr>
          <w:rFonts w:ascii="Arial" w:hAnsi="Arial" w:cs="Arial"/>
          <w:sz w:val="24"/>
          <w:szCs w:val="24"/>
        </w:rPr>
        <w:t>Carlos Louza</w:t>
      </w:r>
      <w:r w:rsidR="000F0AF3">
        <w:rPr>
          <w:rFonts w:ascii="Arial" w:hAnsi="Arial" w:cs="Arial"/>
          <w:sz w:val="24"/>
          <w:szCs w:val="24"/>
        </w:rPr>
        <w:t>, bairro Vila Miranda.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33D2C" w:rsidP="00333D2C" w14:paraId="32312F5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8139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3D2C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094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44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0DB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024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328D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4F2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2022-04-18T16:50:00Z</dcterms:created>
  <dcterms:modified xsi:type="dcterms:W3CDTF">2022-04-18T16:50:00Z</dcterms:modified>
</cp:coreProperties>
</file>