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7627" w:rsidP="00FB065E" w14:paraId="1491C7E7" w14:textId="77777777">
      <w:pPr>
        <w:autoSpaceDE w:val="0"/>
        <w:autoSpaceDN w:val="0"/>
        <w:adjustRightInd w:val="0"/>
        <w:spacing w:after="0" w:line="276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</w:p>
    <w:p w:rsidR="00757365" w:rsidP="00FB065E" w14:paraId="72AF9020" w14:textId="77777777">
      <w:pPr>
        <w:autoSpaceDE w:val="0"/>
        <w:autoSpaceDN w:val="0"/>
        <w:adjustRightInd w:val="0"/>
        <w:spacing w:after="0" w:line="276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</w:p>
    <w:p w:rsidR="00445A55" w:rsidP="00FB065E" w14:paraId="19DDD49D" w14:textId="3B09668A">
      <w:pPr>
        <w:autoSpaceDE w:val="0"/>
        <w:autoSpaceDN w:val="0"/>
        <w:adjustRightInd w:val="0"/>
        <w:spacing w:after="0" w:line="276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 w:rsidR="00502ABF">
        <w:rPr>
          <w:rFonts w:ascii="Arial" w:hAnsi="Arial" w:cs="Arial"/>
          <w:b/>
          <w:bCs/>
          <w:color w:val="000000"/>
        </w:rPr>
        <w:t>2</w:t>
      </w:r>
    </w:p>
    <w:p w:rsidR="00722BE3" w:rsidRPr="0024088B" w:rsidP="00FB065E" w14:paraId="1097318C" w14:textId="77777777">
      <w:pPr>
        <w:autoSpaceDE w:val="0"/>
        <w:autoSpaceDN w:val="0"/>
        <w:adjustRightInd w:val="0"/>
        <w:spacing w:after="0" w:line="276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</w:p>
    <w:p w:rsidR="00445A55" w:rsidRPr="0024088B" w:rsidP="00FB065E" w14:paraId="17A943DF" w14:textId="0B320614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Arial" w:hAnsi="Arial" w:cs="Arial"/>
          <w:color w:val="000000"/>
        </w:rPr>
      </w:pPr>
      <w:r w:rsidRPr="0024088B">
        <w:rPr>
          <w:rFonts w:ascii="Arial" w:hAnsi="Arial" w:cs="Arial"/>
          <w:color w:val="000000"/>
        </w:rPr>
        <w:t xml:space="preserve">DISPÕE SOBRE </w:t>
      </w:r>
      <w:r w:rsidR="004D55AE">
        <w:rPr>
          <w:rFonts w:ascii="Arial" w:hAnsi="Arial" w:cs="Arial"/>
          <w:color w:val="000000"/>
        </w:rPr>
        <w:t xml:space="preserve">O DIREITO </w:t>
      </w:r>
      <w:r w:rsidR="008F34C7">
        <w:rPr>
          <w:rFonts w:ascii="Arial" w:hAnsi="Arial" w:cs="Arial"/>
          <w:color w:val="000000"/>
        </w:rPr>
        <w:t>DE AQUISIÇÃO E INSTALAÇÃO DE DISPOSITIVO BLOQUEADOR DE AR NA TUBULAÇÃO DE ABASTECIMENTO DE ÁGUA A TODOS OS IMÓVEIS RESIDENCIAIS, COMERCIAIS E INDUSTRIAIS, NO ÂMBITO DO MUNICÍPIO DE SUMARÉ.</w:t>
      </w:r>
    </w:p>
    <w:p w:rsidR="00667CAC" w:rsidRPr="0024088B" w:rsidP="00FB065E" w14:paraId="377CA41F" w14:textId="77777777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</w:p>
    <w:p w:rsidR="00445A55" w:rsidRPr="0024088B" w:rsidP="00FB065E" w14:paraId="539D6DB2" w14:textId="758123C6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</w:t>
      </w:r>
      <w:r w:rsidR="008C4E42">
        <w:rPr>
          <w:rFonts w:ascii="Arial" w:hAnsi="Arial" w:cs="Arial"/>
          <w:b/>
          <w:bCs/>
        </w:rPr>
        <w:t>es</w:t>
      </w:r>
      <w:r w:rsidRPr="0024088B">
        <w:rPr>
          <w:rFonts w:ascii="Arial" w:hAnsi="Arial" w:cs="Arial"/>
          <w:b/>
          <w:bCs/>
        </w:rPr>
        <w:t xml:space="preserve"> Hélio Silva</w:t>
      </w:r>
      <w:r w:rsidR="008C4E42">
        <w:rPr>
          <w:rFonts w:ascii="Arial" w:hAnsi="Arial" w:cs="Arial"/>
          <w:b/>
          <w:bCs/>
        </w:rPr>
        <w:t xml:space="preserve"> e Rudinei Lobo</w:t>
      </w:r>
    </w:p>
    <w:p w:rsidR="00445A55" w:rsidRPr="0024088B" w:rsidP="00563B1D" w14:paraId="08DB10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67627" w:rsidP="00563B1D" w14:paraId="58F4DA15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C67627" w:rsidP="00563B1D" w14:paraId="44EB6FBD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45A55" w:rsidP="00563B1D" w14:paraId="32EF0660" w14:textId="37AEB891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FB065E" w:rsidRPr="00FB065E" w:rsidP="00563B1D" w14:paraId="0F0273D9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45A55" w:rsidRPr="00FB065E" w:rsidP="00FB065E" w14:paraId="6B2C0163" w14:textId="048D9BB8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445A55" w:rsidP="00B3562F" w14:paraId="11CAB939" w14:textId="1E4A487F">
      <w:pPr>
        <w:pStyle w:val="BodyText"/>
        <w:tabs>
          <w:tab w:val="left" w:pos="0"/>
        </w:tabs>
        <w:spacing w:line="360" w:lineRule="auto"/>
        <w:ind w:right="-1"/>
        <w:jc w:val="both"/>
        <w:rPr>
          <w:w w:val="105"/>
          <w:sz w:val="22"/>
          <w:szCs w:val="22"/>
        </w:rPr>
      </w:pPr>
      <w:r w:rsidRPr="0024088B">
        <w:rPr>
          <w:b/>
          <w:bCs/>
          <w:w w:val="105"/>
          <w:sz w:val="22"/>
          <w:szCs w:val="22"/>
        </w:rPr>
        <w:tab/>
      </w:r>
      <w:r w:rsidRPr="0024088B">
        <w:rPr>
          <w:b/>
          <w:bCs/>
          <w:w w:val="105"/>
          <w:sz w:val="22"/>
          <w:szCs w:val="22"/>
        </w:rPr>
        <w:t>Art. 1°</w:t>
      </w:r>
      <w:r w:rsidRPr="0024088B">
        <w:rPr>
          <w:w w:val="105"/>
          <w:sz w:val="22"/>
          <w:szCs w:val="22"/>
        </w:rPr>
        <w:t xml:space="preserve"> Fica</w:t>
      </w:r>
      <w:r w:rsidRPr="0024088B">
        <w:rPr>
          <w:w w:val="105"/>
          <w:sz w:val="22"/>
          <w:szCs w:val="22"/>
        </w:rPr>
        <w:t xml:space="preserve"> </w:t>
      </w:r>
      <w:r w:rsidR="004D55AE">
        <w:rPr>
          <w:w w:val="105"/>
          <w:sz w:val="22"/>
          <w:szCs w:val="22"/>
        </w:rPr>
        <w:t xml:space="preserve">assegurado aos usuários do sistema público de água e esgotamento sanitário no município de Sumaré, o direito de instalação do equipamento </w:t>
      </w:r>
      <w:r w:rsidR="008F34C7">
        <w:rPr>
          <w:w w:val="105"/>
          <w:sz w:val="22"/>
          <w:szCs w:val="22"/>
        </w:rPr>
        <w:t>bloqueador</w:t>
      </w:r>
      <w:r w:rsidR="004D55AE">
        <w:rPr>
          <w:w w:val="105"/>
          <w:sz w:val="22"/>
          <w:szCs w:val="22"/>
        </w:rPr>
        <w:t xml:space="preserve"> de ar na </w:t>
      </w:r>
      <w:r w:rsidR="00AB5ABC">
        <w:rPr>
          <w:w w:val="105"/>
          <w:sz w:val="22"/>
          <w:szCs w:val="22"/>
        </w:rPr>
        <w:t>tubulação do sistema de abastecimento de água, em cada unidade independente servida por ligação de água.</w:t>
      </w:r>
    </w:p>
    <w:p w:rsidR="00B3562F" w:rsidRPr="0024088B" w:rsidP="00B3562F" w14:paraId="39843E43" w14:textId="7DE96548">
      <w:pPr>
        <w:pStyle w:val="BodyText"/>
        <w:tabs>
          <w:tab w:val="left" w:pos="0"/>
        </w:tabs>
        <w:spacing w:line="360" w:lineRule="auto"/>
        <w:ind w:right="-1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 w:rsidRPr="00812F48">
        <w:rPr>
          <w:b/>
          <w:bCs/>
          <w:w w:val="105"/>
          <w:sz w:val="22"/>
          <w:szCs w:val="22"/>
        </w:rPr>
        <w:t>Parágrafo Único</w:t>
      </w:r>
      <w:r>
        <w:rPr>
          <w:w w:val="105"/>
          <w:sz w:val="22"/>
          <w:szCs w:val="22"/>
        </w:rPr>
        <w:t xml:space="preserve"> – O equipamento </w:t>
      </w:r>
      <w:r w:rsidR="008F34C7">
        <w:rPr>
          <w:w w:val="105"/>
          <w:sz w:val="22"/>
          <w:szCs w:val="22"/>
        </w:rPr>
        <w:t>bloqueador</w:t>
      </w:r>
      <w:r>
        <w:rPr>
          <w:w w:val="105"/>
          <w:sz w:val="22"/>
          <w:szCs w:val="22"/>
        </w:rPr>
        <w:t xml:space="preserve"> de ar deve ser instalado </w:t>
      </w:r>
      <w:r w:rsidR="00812F48">
        <w:rPr>
          <w:w w:val="105"/>
          <w:sz w:val="22"/>
          <w:szCs w:val="22"/>
        </w:rPr>
        <w:t>posteriormente ao medidor de volume de água (hidrômetro), ou seja, após o registro de passagem da água pelo medidor, sendo vedada sua instalação no cavalete.</w:t>
      </w:r>
    </w:p>
    <w:p w:rsidR="00C67627" w:rsidP="00FB065E" w14:paraId="5219FDD0" w14:textId="77777777">
      <w:pPr>
        <w:pStyle w:val="BodyText"/>
        <w:spacing w:line="360" w:lineRule="auto"/>
        <w:ind w:right="-1" w:hanging="851"/>
        <w:jc w:val="both"/>
        <w:rPr>
          <w:w w:val="105"/>
          <w:sz w:val="22"/>
          <w:szCs w:val="22"/>
        </w:rPr>
      </w:pPr>
      <w:r w:rsidRPr="0024088B">
        <w:rPr>
          <w:w w:val="105"/>
          <w:sz w:val="22"/>
          <w:szCs w:val="22"/>
        </w:rPr>
        <w:t xml:space="preserve">     </w:t>
      </w:r>
      <w:r w:rsidRPr="0024088B" w:rsidR="00667CAC">
        <w:rPr>
          <w:w w:val="105"/>
          <w:sz w:val="22"/>
          <w:szCs w:val="22"/>
        </w:rPr>
        <w:tab/>
      </w:r>
      <w:r w:rsidRPr="0024088B" w:rsidR="00667CAC">
        <w:rPr>
          <w:w w:val="105"/>
          <w:sz w:val="22"/>
          <w:szCs w:val="22"/>
        </w:rPr>
        <w:tab/>
      </w:r>
    </w:p>
    <w:p w:rsidR="00B3562F" w:rsidP="00C67627" w14:paraId="61FFF91A" w14:textId="172A7011">
      <w:pPr>
        <w:pStyle w:val="BodyText"/>
        <w:spacing w:line="360" w:lineRule="auto"/>
        <w:ind w:right="-1" w:firstLine="708"/>
        <w:jc w:val="both"/>
        <w:rPr>
          <w:w w:val="105"/>
          <w:sz w:val="22"/>
          <w:szCs w:val="22"/>
        </w:rPr>
      </w:pPr>
      <w:r w:rsidRPr="0024088B">
        <w:rPr>
          <w:b/>
          <w:bCs/>
          <w:w w:val="105"/>
          <w:sz w:val="22"/>
          <w:szCs w:val="22"/>
        </w:rPr>
        <w:t>Art. 2°</w:t>
      </w:r>
      <w:r w:rsidRPr="0024088B">
        <w:rPr>
          <w:w w:val="105"/>
          <w:sz w:val="22"/>
          <w:szCs w:val="22"/>
        </w:rPr>
        <w:t xml:space="preserve"> </w:t>
      </w:r>
      <w:r w:rsidR="00812F48">
        <w:rPr>
          <w:w w:val="105"/>
          <w:sz w:val="22"/>
          <w:szCs w:val="22"/>
        </w:rPr>
        <w:t>Sem prejuízo do direito do consumidor em adquirir e instalar o equipamento, a concessionária poderá, mediante a adoção de critérios próprios, fornecer e instalar o equipamento.</w:t>
      </w:r>
    </w:p>
    <w:p w:rsidR="008E50C3" w:rsidP="00FB065E" w14:paraId="14EF18F5" w14:textId="66EF4C22">
      <w:pPr>
        <w:pStyle w:val="BodyText"/>
        <w:spacing w:line="360" w:lineRule="auto"/>
        <w:ind w:right="-1" w:hanging="851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Pr="00C67627">
        <w:rPr>
          <w:b/>
          <w:bCs/>
          <w:w w:val="105"/>
          <w:sz w:val="22"/>
          <w:szCs w:val="22"/>
        </w:rPr>
        <w:t>§ 1º</w:t>
      </w:r>
      <w:r>
        <w:rPr>
          <w:w w:val="105"/>
          <w:sz w:val="22"/>
          <w:szCs w:val="22"/>
        </w:rPr>
        <w:t xml:space="preserve"> No caso de fornecimento e instalação pela concessionária, o valor pelo bloqueador de ar e serviço realizado poderá ser parcelado em até 12 (doze) vezes por meio da própria fatura de água e esgoto.</w:t>
      </w:r>
    </w:p>
    <w:p w:rsidR="008E50C3" w:rsidRPr="0024088B" w:rsidP="00FB065E" w14:paraId="39B4B508" w14:textId="1752783A">
      <w:pPr>
        <w:pStyle w:val="BodyText"/>
        <w:spacing w:line="360" w:lineRule="auto"/>
        <w:ind w:right="-1" w:hanging="851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Pr="00C67627">
        <w:rPr>
          <w:b/>
          <w:bCs/>
          <w:w w:val="105"/>
          <w:sz w:val="22"/>
          <w:szCs w:val="22"/>
        </w:rPr>
        <w:t>§ 2º</w:t>
      </w:r>
      <w:r>
        <w:rPr>
          <w:w w:val="105"/>
          <w:sz w:val="22"/>
          <w:szCs w:val="22"/>
        </w:rPr>
        <w:t xml:space="preserve"> No caso de fornecimento e instalação do bloqueador de </w:t>
      </w:r>
      <w:r w:rsidR="00C67627">
        <w:rPr>
          <w:w w:val="105"/>
          <w:sz w:val="22"/>
          <w:szCs w:val="22"/>
        </w:rPr>
        <w:t>ar</w:t>
      </w:r>
      <w:r>
        <w:rPr>
          <w:w w:val="105"/>
          <w:sz w:val="22"/>
          <w:szCs w:val="22"/>
        </w:rPr>
        <w:t xml:space="preserve"> por terceiros, não caberá multa ao consumidor por parte da concessionária</w:t>
      </w:r>
      <w:r w:rsidR="00C67627">
        <w:rPr>
          <w:w w:val="105"/>
          <w:sz w:val="22"/>
          <w:szCs w:val="22"/>
        </w:rPr>
        <w:t>.</w:t>
      </w:r>
    </w:p>
    <w:p w:rsidR="00C67627" w:rsidP="00FB065E" w14:paraId="6CB52F54" w14:textId="77777777">
      <w:pPr>
        <w:pStyle w:val="BodyText"/>
        <w:spacing w:line="360" w:lineRule="auto"/>
        <w:ind w:right="-1" w:hanging="851"/>
        <w:jc w:val="both"/>
        <w:rPr>
          <w:w w:val="105"/>
          <w:sz w:val="22"/>
          <w:szCs w:val="22"/>
        </w:rPr>
      </w:pPr>
      <w:r w:rsidRPr="0024088B">
        <w:rPr>
          <w:w w:val="105"/>
          <w:sz w:val="22"/>
          <w:szCs w:val="22"/>
        </w:rPr>
        <w:tab/>
      </w:r>
      <w:r w:rsidRPr="0024088B">
        <w:rPr>
          <w:w w:val="105"/>
          <w:sz w:val="22"/>
          <w:szCs w:val="22"/>
        </w:rPr>
        <w:tab/>
      </w:r>
    </w:p>
    <w:p w:rsidR="00B3562F" w:rsidP="00C67627" w14:paraId="214AFB33" w14:textId="3473EC65">
      <w:pPr>
        <w:pStyle w:val="BodyText"/>
        <w:spacing w:line="360" w:lineRule="auto"/>
        <w:ind w:right="-1" w:firstLine="708"/>
        <w:jc w:val="both"/>
        <w:rPr>
          <w:w w:val="105"/>
          <w:sz w:val="22"/>
          <w:szCs w:val="22"/>
        </w:rPr>
      </w:pPr>
      <w:r w:rsidRPr="0024088B">
        <w:rPr>
          <w:b/>
          <w:bCs/>
          <w:w w:val="105"/>
          <w:sz w:val="22"/>
          <w:szCs w:val="22"/>
        </w:rPr>
        <w:t>Art. 3º</w:t>
      </w:r>
      <w:r w:rsidRPr="0024088B">
        <w:rPr>
          <w:w w:val="105"/>
          <w:sz w:val="22"/>
          <w:szCs w:val="22"/>
        </w:rPr>
        <w:t xml:space="preserve"> </w:t>
      </w:r>
      <w:r w:rsidR="00812F48">
        <w:rPr>
          <w:w w:val="105"/>
          <w:sz w:val="22"/>
          <w:szCs w:val="22"/>
        </w:rPr>
        <w:t xml:space="preserve">Para os efeitos desta Lei, são considerados consumidores todos os </w:t>
      </w:r>
      <w:r w:rsidR="00812F48">
        <w:rPr>
          <w:w w:val="105"/>
          <w:sz w:val="22"/>
          <w:szCs w:val="22"/>
        </w:rPr>
        <w:t>usuários do sistema público de abastecimento de água tratada e esgotamento sanitário no município de Sumaré, sejam pessoas físicas ou jurídicas.</w:t>
      </w:r>
    </w:p>
    <w:p w:rsidR="006C00D2" w:rsidRPr="0024088B" w:rsidP="00C67627" w14:paraId="5E40A712" w14:textId="77777777">
      <w:pPr>
        <w:pStyle w:val="BodyText"/>
        <w:spacing w:line="360" w:lineRule="auto"/>
        <w:ind w:right="-1" w:firstLine="708"/>
        <w:jc w:val="both"/>
        <w:rPr>
          <w:w w:val="105"/>
          <w:sz w:val="22"/>
          <w:szCs w:val="22"/>
        </w:rPr>
      </w:pPr>
    </w:p>
    <w:p w:rsidR="00B3562F" w:rsidRPr="0024088B" w:rsidP="00FB065E" w14:paraId="5E884081" w14:textId="56C74713">
      <w:pPr>
        <w:pStyle w:val="BodyText"/>
        <w:spacing w:line="360" w:lineRule="auto"/>
        <w:ind w:firstLine="708"/>
        <w:jc w:val="both"/>
        <w:rPr>
          <w:w w:val="105"/>
        </w:rPr>
      </w:pPr>
      <w:r w:rsidRPr="0024088B">
        <w:rPr>
          <w:b/>
          <w:bCs/>
          <w:w w:val="105"/>
          <w:sz w:val="22"/>
          <w:szCs w:val="22"/>
        </w:rPr>
        <w:t xml:space="preserve">Art. </w:t>
      </w:r>
      <w:r w:rsidRPr="0024088B" w:rsidR="00AC6C47">
        <w:rPr>
          <w:b/>
          <w:bCs/>
          <w:w w:val="105"/>
          <w:sz w:val="22"/>
          <w:szCs w:val="22"/>
        </w:rPr>
        <w:t>4</w:t>
      </w:r>
      <w:r w:rsidRPr="0024088B">
        <w:rPr>
          <w:b/>
          <w:bCs/>
          <w:w w:val="105"/>
          <w:sz w:val="22"/>
          <w:szCs w:val="22"/>
        </w:rPr>
        <w:t>°</w:t>
      </w:r>
      <w:r w:rsidRPr="0024088B">
        <w:rPr>
          <w:w w:val="105"/>
        </w:rPr>
        <w:t xml:space="preserve"> As despesas decorrentes da</w:t>
      </w:r>
      <w:r>
        <w:rPr>
          <w:w w:val="105"/>
        </w:rPr>
        <w:t xml:space="preserve"> presente</w:t>
      </w:r>
      <w:r w:rsidRPr="0024088B">
        <w:rPr>
          <w:w w:val="105"/>
        </w:rPr>
        <w:t xml:space="preserve"> Lei, correrão por conta das dotações próprias, suplementadas se necessário.</w:t>
      </w:r>
      <w:r w:rsidRPr="0024088B" w:rsidR="00BD6E5C">
        <w:rPr>
          <w:w w:val="105"/>
        </w:rPr>
        <w:tab/>
      </w:r>
    </w:p>
    <w:p w:rsidR="00C67627" w:rsidP="00B3562F" w14:paraId="6C0C27DA" w14:textId="77777777">
      <w:pPr>
        <w:spacing w:after="200" w:line="360" w:lineRule="auto"/>
        <w:jc w:val="both"/>
        <w:rPr>
          <w:rFonts w:ascii="Arial" w:eastAsia="Arial" w:hAnsi="Arial" w:cs="Arial"/>
          <w:w w:val="105"/>
        </w:rPr>
      </w:pPr>
      <w:r w:rsidRPr="0024088B">
        <w:rPr>
          <w:rFonts w:ascii="Arial" w:eastAsia="Arial" w:hAnsi="Arial" w:cs="Arial"/>
          <w:w w:val="105"/>
        </w:rPr>
        <w:tab/>
      </w:r>
    </w:p>
    <w:p w:rsidR="00563B1D" w:rsidRPr="0024088B" w:rsidP="00C67627" w14:paraId="0BA8C5AA" w14:textId="7DE5982E">
      <w:pPr>
        <w:spacing w:after="200" w:line="360" w:lineRule="auto"/>
        <w:ind w:firstLine="708"/>
        <w:jc w:val="both"/>
        <w:rPr>
          <w:rFonts w:ascii="Arial" w:eastAsia="Arial" w:hAnsi="Arial" w:cs="Arial"/>
          <w:w w:val="105"/>
        </w:rPr>
      </w:pPr>
      <w:r w:rsidRPr="0024088B">
        <w:rPr>
          <w:rFonts w:ascii="Arial" w:eastAsia="Arial" w:hAnsi="Arial" w:cs="Arial"/>
          <w:b/>
          <w:bCs/>
          <w:w w:val="105"/>
        </w:rPr>
        <w:t xml:space="preserve">Art. </w:t>
      </w:r>
      <w:r w:rsidR="00B3562F">
        <w:rPr>
          <w:rFonts w:ascii="Arial" w:eastAsia="Arial" w:hAnsi="Arial" w:cs="Arial"/>
          <w:b/>
          <w:bCs/>
          <w:w w:val="105"/>
        </w:rPr>
        <w:t>5</w:t>
      </w:r>
      <w:r w:rsidRPr="0024088B">
        <w:rPr>
          <w:rFonts w:ascii="Arial" w:eastAsia="Arial" w:hAnsi="Arial" w:cs="Arial"/>
          <w:b/>
          <w:bCs/>
          <w:w w:val="105"/>
        </w:rPr>
        <w:t>º</w:t>
      </w:r>
      <w:r w:rsidRPr="0024088B">
        <w:rPr>
          <w:rFonts w:ascii="Arial" w:eastAsia="Arial" w:hAnsi="Arial" w:cs="Arial"/>
          <w:w w:val="105"/>
        </w:rPr>
        <w:t xml:space="preserve"> Esta Lei entrará em vigor na data de sua publicação.</w:t>
      </w:r>
    </w:p>
    <w:p w:rsidR="00FB065E" w:rsidP="00A14DF3" w14:paraId="7E1C7FD9" w14:textId="2961BBE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67627" w:rsidP="00A14DF3" w14:paraId="25714696" w14:textId="77777777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A14DF3" w:rsidRPr="0024088B" w:rsidP="00FB065E" w14:paraId="28F8ECE6" w14:textId="1AAA118B">
      <w:pPr>
        <w:spacing w:line="360" w:lineRule="auto"/>
        <w:jc w:val="center"/>
        <w:rPr>
          <w:rFonts w:ascii="Arial" w:hAnsi="Arial" w:cs="Arial"/>
          <w:color w:val="000000"/>
        </w:rPr>
      </w:pPr>
      <w:r w:rsidRPr="0024088B">
        <w:rPr>
          <w:rFonts w:ascii="Arial" w:hAnsi="Arial" w:cs="Arial"/>
          <w:color w:val="000000"/>
        </w:rPr>
        <w:t xml:space="preserve">Sala das Sessões, </w:t>
      </w:r>
      <w:r w:rsidR="00985962">
        <w:rPr>
          <w:rFonts w:ascii="Arial" w:hAnsi="Arial" w:cs="Arial"/>
          <w:color w:val="000000"/>
        </w:rPr>
        <w:t>30</w:t>
      </w:r>
      <w:r w:rsidRPr="0024088B">
        <w:rPr>
          <w:rFonts w:ascii="Arial" w:hAnsi="Arial" w:cs="Arial"/>
          <w:color w:val="000000"/>
        </w:rPr>
        <w:t xml:space="preserve"> de março de 2022.</w:t>
      </w:r>
    </w:p>
    <w:p w:rsidR="00A14DF3" w:rsidP="00A14DF3" w14:paraId="70A50380" w14:textId="05ADA38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67627" w:rsidP="00A14DF3" w14:paraId="71679DB3" w14:textId="67BEB6B1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5"/>
      </w:tblGrid>
      <w:tr w14:paraId="1391D4A5" w14:textId="77777777" w:rsidTr="00842C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6"/>
        </w:trPr>
        <w:tc>
          <w:tcPr>
            <w:tcW w:w="4005" w:type="dxa"/>
            <w:tcBorders>
              <w:top w:val="single" w:sz="4" w:space="0" w:color="auto"/>
            </w:tcBorders>
          </w:tcPr>
          <w:p w:rsidR="0071650D" w:rsidRPr="0071650D" w:rsidP="0071650D" w14:paraId="7578F6FB" w14:textId="0FE52F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650D">
              <w:rPr>
                <w:rFonts w:ascii="Arial" w:hAnsi="Arial" w:cs="Arial"/>
                <w:b/>
                <w:bCs/>
                <w:color w:val="000000"/>
              </w:rPr>
              <w:t>Hélio Silva</w:t>
            </w:r>
          </w:p>
        </w:tc>
      </w:tr>
      <w:tr w14:paraId="0ED725A2" w14:textId="77777777" w:rsidTr="00842C62">
        <w:tblPrEx>
          <w:tblW w:w="0" w:type="auto"/>
          <w:tblLook w:val="04A0"/>
        </w:tblPrEx>
        <w:trPr>
          <w:trHeight w:val="396"/>
        </w:trPr>
        <w:tc>
          <w:tcPr>
            <w:tcW w:w="4005" w:type="dxa"/>
          </w:tcPr>
          <w:p w:rsidR="0071650D" w:rsidRPr="0071650D" w:rsidP="0071650D" w14:paraId="5C9782B9" w14:textId="572C93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650D">
              <w:rPr>
                <w:rFonts w:ascii="Arial" w:hAnsi="Arial" w:cs="Arial"/>
                <w:b/>
                <w:bCs/>
                <w:color w:val="000000"/>
              </w:rPr>
              <w:t>Vereador (Cidadania)</w:t>
            </w:r>
          </w:p>
        </w:tc>
      </w:tr>
    </w:tbl>
    <w:tbl>
      <w:tblPr>
        <w:tblStyle w:val="TableGrid"/>
        <w:tblpPr w:leftFromText="141" w:rightFromText="141" w:vertAnchor="text" w:horzAnchor="margin" w:tblpXSpec="right" w:tblpY="-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</w:tblGrid>
      <w:tr w14:paraId="2F9A01EA" w14:textId="77777777" w:rsidTr="00842C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0"/>
        </w:trPr>
        <w:tc>
          <w:tcPr>
            <w:tcW w:w="4072" w:type="dxa"/>
            <w:tcBorders>
              <w:top w:val="single" w:sz="4" w:space="0" w:color="auto"/>
            </w:tcBorders>
          </w:tcPr>
          <w:p w:rsidR="00842C62" w:rsidRPr="0071650D" w:rsidP="00842C62" w14:paraId="7380CF34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650D">
              <w:rPr>
                <w:rFonts w:ascii="Arial" w:hAnsi="Arial" w:cs="Arial"/>
                <w:b/>
                <w:bCs/>
                <w:color w:val="000000"/>
              </w:rPr>
              <w:t>Rudinei Lobo</w:t>
            </w:r>
          </w:p>
        </w:tc>
      </w:tr>
      <w:tr w14:paraId="6A499DE1" w14:textId="77777777" w:rsidTr="00842C62">
        <w:tblPrEx>
          <w:tblW w:w="0" w:type="auto"/>
          <w:tblLook w:val="04A0"/>
        </w:tblPrEx>
        <w:trPr>
          <w:trHeight w:val="400"/>
        </w:trPr>
        <w:tc>
          <w:tcPr>
            <w:tcW w:w="4072" w:type="dxa"/>
          </w:tcPr>
          <w:p w:rsidR="00842C62" w:rsidRPr="0071650D" w:rsidP="00842C62" w14:paraId="424849F2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650D">
              <w:rPr>
                <w:rFonts w:ascii="Arial" w:hAnsi="Arial" w:cs="Arial"/>
                <w:b/>
                <w:bCs/>
                <w:color w:val="000000"/>
              </w:rPr>
              <w:t>Vereador (PL)</w:t>
            </w:r>
          </w:p>
        </w:tc>
      </w:tr>
    </w:tbl>
    <w:p w:rsidR="0071650D" w:rsidP="00A14DF3" w14:paraId="1A73A46E" w14:textId="6177DAAA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1650D" w:rsidP="00A14DF3" w14:paraId="4E0C8945" w14:textId="51FAE9EB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1650D" w:rsidP="00A14DF3" w14:paraId="21ECABA6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1650D" w14:paraId="30C7DDB6" w14:textId="7777777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445A55" w:rsidRPr="00CC400E" w:rsidP="00CC400E" w14:paraId="3BF153C8" w14:textId="567A66D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CC400E">
        <w:rPr>
          <w:rFonts w:ascii="Arial" w:hAnsi="Arial" w:cs="Arial"/>
          <w:b/>
          <w:bCs/>
          <w:color w:val="000000"/>
        </w:rPr>
        <w:t>JUSTIFICATIVA</w:t>
      </w:r>
    </w:p>
    <w:p w:rsidR="00CC400E" w:rsidP="00A14DF3" w14:paraId="20B86E3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872855" w:rsidP="00872855" w14:paraId="130103F2" w14:textId="79C00B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351EB2">
        <w:rPr>
          <w:rFonts w:ascii="Arial" w:hAnsi="Arial" w:cs="Arial"/>
          <w:color w:val="000000"/>
        </w:rPr>
        <w:t>A presente propositura busca atender a demanda da população pelo direito de optar pela instalação de bloqueadores de ar na tubulação de distribuição de água de suas residências, comércios ou indústrias.</w:t>
      </w:r>
    </w:p>
    <w:p w:rsidR="005D6FE8" w:rsidP="008A39CA" w14:paraId="7F88AC4F" w14:textId="40E0AF1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Há um grande debate sobre a eficácia do equipamento denominado “bloqueador de ar” na anulação de entrada de ar na tubulação e consequente economia na fatura de água, uma vez que, com a instalação do equipamento, o hidrômetro registraria somente a passagem de água, que é o bem esperado pelo consumidor. Há estudos que registram a eficácia</w:t>
      </w:r>
      <w:r>
        <w:rPr>
          <w:rFonts w:ascii="Arial" w:hAnsi="Arial" w:cs="Arial"/>
          <w:color w:val="000000"/>
        </w:rPr>
        <w:t xml:space="preserve"> dos bloqueadores de ar</w:t>
      </w:r>
      <w:r>
        <w:rPr>
          <w:rFonts w:ascii="Arial" w:hAnsi="Arial" w:cs="Arial"/>
          <w:color w:val="000000"/>
        </w:rPr>
        <w:t>, apontando relevante economia para os consumidores; e, em contrapartida, há análises que indicam que esses produtos em nada interferem na leitura dos hidrômetros.</w:t>
      </w:r>
    </w:p>
    <w:p w:rsidR="005D6FE8" w:rsidP="008A39CA" w14:paraId="06A909BA" w14:textId="0C19F3D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Considerando que órgãos de padronização e medição, como ABNT e INMETRO até o presente momento não dispõem de laudos e estudos sobre o tema, o que se indica neste Projeto de Lei, é o direito do consumidor pela escolha que lhe pareça mais vantajosa, sem comprometimento do direito coletivo. Assim, a instalação do bloqueador de ar após o hidrômetro, ou seja, na rede interna de distribuição de água, não deve representar prejuízos à coletividade, ou imposição </w:t>
      </w:r>
      <w:r w:rsidR="0052190F">
        <w:rPr>
          <w:rFonts w:ascii="Arial" w:hAnsi="Arial" w:cs="Arial"/>
          <w:color w:val="000000"/>
        </w:rPr>
        <w:t>de responsabilidade à concessionária de água e esgotamento sanitário do município, que tem total obrigação sobre a rede de distribuição pública, ou até o hidrômetro de cada instalação.</w:t>
      </w:r>
    </w:p>
    <w:p w:rsidR="00385C08" w:rsidRPr="0081737E" w:rsidP="008A39CA" w14:paraId="61EC9159" w14:textId="0549347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Destaca-se que não se busca usurpar a competência da ARES-PCJ, agência responsável pela regulação do setor de água e </w:t>
      </w:r>
      <w:r w:rsidR="00E07640">
        <w:rPr>
          <w:rFonts w:ascii="Arial" w:hAnsi="Arial" w:cs="Arial"/>
          <w:color w:val="000000"/>
        </w:rPr>
        <w:t>esgotamento sanitário local, nem da concessionária responsável para distribuição desses serviços. A presente propositura atua no interesse dos cidadãos em buscar meios disponíveis para aumentar a eficiência dos sistemas internos de suas residências, comércios e industrias. Embora existam mecanismos de eliminação de ar da rede de distribuição de água adotados pelas concessionárias, a</w:t>
      </w:r>
      <w:r w:rsidR="0081737E">
        <w:rPr>
          <w:rFonts w:ascii="Arial" w:hAnsi="Arial" w:cs="Arial"/>
          <w:color w:val="000000"/>
        </w:rPr>
        <w:t>s</w:t>
      </w:r>
      <w:r w:rsidR="00E07640">
        <w:rPr>
          <w:rFonts w:ascii="Arial" w:hAnsi="Arial" w:cs="Arial"/>
          <w:color w:val="000000"/>
        </w:rPr>
        <w:t xml:space="preserve"> tecnologia</w:t>
      </w:r>
      <w:r w:rsidR="0081737E">
        <w:rPr>
          <w:rFonts w:ascii="Arial" w:hAnsi="Arial" w:cs="Arial"/>
          <w:color w:val="000000"/>
        </w:rPr>
        <w:t>s</w:t>
      </w:r>
      <w:r w:rsidR="00E07640">
        <w:rPr>
          <w:rFonts w:ascii="Arial" w:hAnsi="Arial" w:cs="Arial"/>
          <w:color w:val="000000"/>
        </w:rPr>
        <w:t xml:space="preserve"> que pode</w:t>
      </w:r>
      <w:r w:rsidR="0081737E">
        <w:rPr>
          <w:rFonts w:ascii="Arial" w:hAnsi="Arial" w:cs="Arial"/>
          <w:color w:val="000000"/>
        </w:rPr>
        <w:t>m</w:t>
      </w:r>
      <w:r w:rsidR="00E07640">
        <w:rPr>
          <w:rFonts w:ascii="Arial" w:hAnsi="Arial" w:cs="Arial"/>
          <w:color w:val="000000"/>
        </w:rPr>
        <w:t xml:space="preserve"> ser aplicada</w:t>
      </w:r>
      <w:r w:rsidR="0081737E">
        <w:rPr>
          <w:rFonts w:ascii="Arial" w:hAnsi="Arial" w:cs="Arial"/>
          <w:color w:val="000000"/>
        </w:rPr>
        <w:t>s</w:t>
      </w:r>
      <w:r w:rsidR="00E07640">
        <w:rPr>
          <w:rFonts w:ascii="Arial" w:hAnsi="Arial" w:cs="Arial"/>
          <w:color w:val="000000"/>
        </w:rPr>
        <w:t xml:space="preserve"> nos sistemas internos de tubulação, não deve</w:t>
      </w:r>
      <w:r w:rsidR="0081737E">
        <w:rPr>
          <w:rFonts w:ascii="Arial" w:hAnsi="Arial" w:cs="Arial"/>
          <w:color w:val="000000"/>
        </w:rPr>
        <w:t>m</w:t>
      </w:r>
      <w:r w:rsidR="00E07640">
        <w:rPr>
          <w:rFonts w:ascii="Arial" w:hAnsi="Arial" w:cs="Arial"/>
          <w:color w:val="000000"/>
        </w:rPr>
        <w:t xml:space="preserve"> ser menosprezad</w:t>
      </w:r>
      <w:r w:rsidR="0081737E">
        <w:rPr>
          <w:rFonts w:ascii="Arial" w:hAnsi="Arial" w:cs="Arial"/>
          <w:color w:val="000000"/>
        </w:rPr>
        <w:t>a</w:t>
      </w:r>
      <w:r w:rsidR="00E07640">
        <w:rPr>
          <w:rFonts w:ascii="Arial" w:hAnsi="Arial" w:cs="Arial"/>
          <w:color w:val="000000"/>
        </w:rPr>
        <w:t xml:space="preserve">s, especialmente </w:t>
      </w:r>
      <w:r w:rsidR="00C731B5">
        <w:rPr>
          <w:rFonts w:ascii="Arial" w:hAnsi="Arial" w:cs="Arial"/>
          <w:color w:val="000000"/>
        </w:rPr>
        <w:t>quando há eventos de falta de água e de racionamento, que podem ocorrer ao longo do tempo.</w:t>
      </w:r>
    </w:p>
    <w:p w:rsidR="007643C0" w:rsidRPr="004170C5" w:rsidP="008A39CA" w14:paraId="70C7A06B" w14:textId="67CB8A1D">
      <w:pPr>
        <w:spacing w:after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Sendo assim, considerando a relevância </w:t>
      </w:r>
      <w:r w:rsidR="0081737E">
        <w:rPr>
          <w:rFonts w:ascii="Arial" w:hAnsi="Arial" w:cs="Arial"/>
          <w:color w:val="000000"/>
        </w:rPr>
        <w:t>do tema,</w:t>
      </w:r>
      <w:r>
        <w:rPr>
          <w:rFonts w:ascii="Arial" w:hAnsi="Arial" w:cs="Arial"/>
          <w:color w:val="000000"/>
        </w:rPr>
        <w:t xml:space="preserve"> </w:t>
      </w:r>
      <w:r w:rsidR="0081737E">
        <w:rPr>
          <w:rFonts w:ascii="Arial" w:hAnsi="Arial" w:cs="Arial"/>
          <w:color w:val="000000"/>
        </w:rPr>
        <w:t>apresento</w:t>
      </w:r>
      <w:r>
        <w:rPr>
          <w:rFonts w:ascii="Arial" w:hAnsi="Arial" w:cs="Arial"/>
          <w:color w:val="000000"/>
        </w:rPr>
        <w:t xml:space="preserve"> o presente Projeto de Lei e solicito, após ouvido o Plenário, sua aprovação.</w:t>
      </w:r>
    </w:p>
    <w:p w:rsidR="009600A3" w:rsidP="008A39CA" w14:paraId="65612998" w14:textId="77777777">
      <w:pPr>
        <w:spacing w:after="0" w:line="276" w:lineRule="auto"/>
        <w:rPr>
          <w:rFonts w:ascii="Arial" w:hAnsi="Arial" w:cs="Arial"/>
          <w:b/>
          <w:bCs/>
        </w:rPr>
      </w:pPr>
    </w:p>
    <w:p w:rsidR="008A39CA" w:rsidP="008A39CA" w14:paraId="6D3D6637" w14:textId="77777777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9600A3" w:rsidP="008A39CA" w14:paraId="5B85A2AE" w14:textId="52CF69D5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</w:t>
      </w:r>
      <w:r w:rsidR="00985962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de </w:t>
      </w:r>
      <w:r w:rsidR="003E386C"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202</w:t>
      </w:r>
      <w:r w:rsidR="003E386C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</w:t>
      </w:r>
    </w:p>
    <w:p w:rsidR="009600A3" w:rsidP="008A39CA" w14:paraId="22E6E3E3" w14:textId="77777777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985962" w:rsidP="00985962" w14:paraId="08FEB87E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5"/>
      </w:tblGrid>
      <w:tr w14:paraId="098738D1" w14:textId="77777777" w:rsidTr="006F1F9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6"/>
        </w:trPr>
        <w:tc>
          <w:tcPr>
            <w:tcW w:w="4005" w:type="dxa"/>
            <w:tcBorders>
              <w:top w:val="single" w:sz="4" w:space="0" w:color="auto"/>
            </w:tcBorders>
          </w:tcPr>
          <w:p w:rsidR="00985962" w:rsidRPr="0071650D" w:rsidP="006F1F97" w14:paraId="2EF85FFD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650D">
              <w:rPr>
                <w:rFonts w:ascii="Arial" w:hAnsi="Arial" w:cs="Arial"/>
                <w:b/>
                <w:bCs/>
                <w:color w:val="000000"/>
              </w:rPr>
              <w:t>Hélio Silva</w:t>
            </w:r>
          </w:p>
        </w:tc>
      </w:tr>
      <w:tr w14:paraId="1A5DE9F7" w14:textId="77777777" w:rsidTr="006F1F97">
        <w:tblPrEx>
          <w:tblW w:w="0" w:type="auto"/>
          <w:tblLook w:val="04A0"/>
        </w:tblPrEx>
        <w:trPr>
          <w:trHeight w:val="396"/>
        </w:trPr>
        <w:tc>
          <w:tcPr>
            <w:tcW w:w="4005" w:type="dxa"/>
          </w:tcPr>
          <w:p w:rsidR="00985962" w:rsidRPr="0071650D" w:rsidP="006F1F97" w14:paraId="239B5D7A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650D">
              <w:rPr>
                <w:rFonts w:ascii="Arial" w:hAnsi="Arial" w:cs="Arial"/>
                <w:b/>
                <w:bCs/>
                <w:color w:val="000000"/>
              </w:rPr>
              <w:t>Vereador (Cidadania)</w:t>
            </w:r>
          </w:p>
        </w:tc>
      </w:tr>
    </w:tbl>
    <w:tbl>
      <w:tblPr>
        <w:tblStyle w:val="TableGrid"/>
        <w:tblpPr w:leftFromText="141" w:rightFromText="141" w:vertAnchor="text" w:horzAnchor="margin" w:tblpXSpec="right" w:tblpY="-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</w:tblGrid>
      <w:tr w14:paraId="3C5FD6D1" w14:textId="77777777" w:rsidTr="006F1F9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0"/>
        </w:trPr>
        <w:tc>
          <w:tcPr>
            <w:tcW w:w="4072" w:type="dxa"/>
            <w:tcBorders>
              <w:top w:val="single" w:sz="4" w:space="0" w:color="auto"/>
            </w:tcBorders>
          </w:tcPr>
          <w:p w:rsidR="00985962" w:rsidRPr="0071650D" w:rsidP="006F1F97" w14:paraId="1FE557A3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650D">
              <w:rPr>
                <w:rFonts w:ascii="Arial" w:hAnsi="Arial" w:cs="Arial"/>
                <w:b/>
                <w:bCs/>
                <w:color w:val="000000"/>
              </w:rPr>
              <w:t>Rudinei Lobo</w:t>
            </w:r>
          </w:p>
        </w:tc>
      </w:tr>
      <w:tr w14:paraId="58315444" w14:textId="77777777" w:rsidTr="006F1F97">
        <w:tblPrEx>
          <w:tblW w:w="0" w:type="auto"/>
          <w:tblLook w:val="04A0"/>
        </w:tblPrEx>
        <w:trPr>
          <w:trHeight w:val="400"/>
        </w:trPr>
        <w:tc>
          <w:tcPr>
            <w:tcW w:w="4072" w:type="dxa"/>
          </w:tcPr>
          <w:p w:rsidR="00985962" w:rsidRPr="0071650D" w:rsidP="006F1F97" w14:paraId="43C0D828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650D">
              <w:rPr>
                <w:rFonts w:ascii="Arial" w:hAnsi="Arial" w:cs="Arial"/>
                <w:b/>
                <w:bCs/>
                <w:color w:val="000000"/>
              </w:rPr>
              <w:t>Vereador (PL)</w:t>
            </w:r>
          </w:p>
        </w:tc>
      </w:tr>
    </w:tbl>
    <w:p w:rsidR="009600A3" w:rsidRPr="0024088B" w:rsidP="00985962" w14:paraId="15736FFD" w14:textId="77777777">
      <w:pPr>
        <w:pStyle w:val="BodyText"/>
        <w:spacing w:line="360" w:lineRule="auto"/>
        <w:ind w:right="-1"/>
        <w:jc w:val="both"/>
        <w:rPr>
          <w:w w:val="105"/>
          <w:sz w:val="22"/>
          <w:szCs w:val="22"/>
        </w:rPr>
      </w:pPr>
    </w:p>
    <w:permEnd w:id="0"/>
    <w:p w:rsidR="00254A17" w:rsidRPr="0024088B" w:rsidP="00512C65" w14:paraId="40DB5630" w14:textId="77777777">
      <w:pPr>
        <w:spacing w:after="0" w:line="360" w:lineRule="auto"/>
        <w:jc w:val="both"/>
        <w:rPr>
          <w:rFonts w:ascii="Arial" w:hAnsi="Arial" w:cs="Arial"/>
        </w:rPr>
      </w:pPr>
    </w:p>
    <w:sectPr w:rsidSect="00445A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E09D1"/>
    <w:multiLevelType w:val="hybridMultilevel"/>
    <w:tmpl w:val="B40E2E4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05360"/>
    <w:multiLevelType w:val="hybridMultilevel"/>
    <w:tmpl w:val="B3625EF6"/>
    <w:lvl w:ilvl="0">
      <w:start w:val="1"/>
      <w:numFmt w:val="upperRoman"/>
      <w:lvlText w:val="%1"/>
      <w:lvlJc w:val="left"/>
      <w:pPr>
        <w:ind w:left="7091" w:hanging="1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3"/>
        <w:szCs w:val="23"/>
      </w:rPr>
    </w:lvl>
    <w:lvl w:ilvl="1">
      <w:start w:val="0"/>
      <w:numFmt w:val="bullet"/>
      <w:lvlText w:val="•"/>
      <w:lvlJc w:val="left"/>
      <w:pPr>
        <w:ind w:left="8141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8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25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67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309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51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93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35" w:hanging="144"/>
      </w:pPr>
      <w:rPr>
        <w:rFonts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2EE3"/>
    <w:rsid w:val="00104AAA"/>
    <w:rsid w:val="0015657E"/>
    <w:rsid w:val="00156CF8"/>
    <w:rsid w:val="001B5A40"/>
    <w:rsid w:val="001D7849"/>
    <w:rsid w:val="001E7439"/>
    <w:rsid w:val="001F1173"/>
    <w:rsid w:val="002261D5"/>
    <w:rsid w:val="0024088B"/>
    <w:rsid w:val="00254A17"/>
    <w:rsid w:val="00272ED8"/>
    <w:rsid w:val="003018B0"/>
    <w:rsid w:val="00351EB2"/>
    <w:rsid w:val="00357F5C"/>
    <w:rsid w:val="00385C08"/>
    <w:rsid w:val="003E386C"/>
    <w:rsid w:val="003E4A14"/>
    <w:rsid w:val="004071B1"/>
    <w:rsid w:val="004170C5"/>
    <w:rsid w:val="00445A55"/>
    <w:rsid w:val="00460A32"/>
    <w:rsid w:val="004B2CC9"/>
    <w:rsid w:val="004D55AE"/>
    <w:rsid w:val="00502ABF"/>
    <w:rsid w:val="0051286F"/>
    <w:rsid w:val="00512C65"/>
    <w:rsid w:val="0052190F"/>
    <w:rsid w:val="00563B1D"/>
    <w:rsid w:val="005D6FE8"/>
    <w:rsid w:val="00601B0A"/>
    <w:rsid w:val="00613928"/>
    <w:rsid w:val="00626437"/>
    <w:rsid w:val="00632D5A"/>
    <w:rsid w:val="00632FA0"/>
    <w:rsid w:val="00667CAC"/>
    <w:rsid w:val="006C00D2"/>
    <w:rsid w:val="006C41A4"/>
    <w:rsid w:val="006D1E9A"/>
    <w:rsid w:val="006F1F97"/>
    <w:rsid w:val="0071650D"/>
    <w:rsid w:val="00722BE3"/>
    <w:rsid w:val="00731402"/>
    <w:rsid w:val="0074472E"/>
    <w:rsid w:val="007568E0"/>
    <w:rsid w:val="00757365"/>
    <w:rsid w:val="007643C0"/>
    <w:rsid w:val="007C3845"/>
    <w:rsid w:val="00812F48"/>
    <w:rsid w:val="0081737E"/>
    <w:rsid w:val="00822396"/>
    <w:rsid w:val="00842C62"/>
    <w:rsid w:val="00872855"/>
    <w:rsid w:val="008924A3"/>
    <w:rsid w:val="008A39CA"/>
    <w:rsid w:val="008C4E42"/>
    <w:rsid w:val="008E50C3"/>
    <w:rsid w:val="008F34C7"/>
    <w:rsid w:val="009600A3"/>
    <w:rsid w:val="00985962"/>
    <w:rsid w:val="009D41A9"/>
    <w:rsid w:val="00A06CF2"/>
    <w:rsid w:val="00A13DBA"/>
    <w:rsid w:val="00A14DF3"/>
    <w:rsid w:val="00A57FBD"/>
    <w:rsid w:val="00A61A7E"/>
    <w:rsid w:val="00A640AD"/>
    <w:rsid w:val="00A971E1"/>
    <w:rsid w:val="00AB4183"/>
    <w:rsid w:val="00AB5ABC"/>
    <w:rsid w:val="00AC6C47"/>
    <w:rsid w:val="00AE6AEE"/>
    <w:rsid w:val="00B04B20"/>
    <w:rsid w:val="00B3562F"/>
    <w:rsid w:val="00B36493"/>
    <w:rsid w:val="00B763CE"/>
    <w:rsid w:val="00BD6E5C"/>
    <w:rsid w:val="00C00C1E"/>
    <w:rsid w:val="00C03C68"/>
    <w:rsid w:val="00C128E8"/>
    <w:rsid w:val="00C36776"/>
    <w:rsid w:val="00C67627"/>
    <w:rsid w:val="00C731B5"/>
    <w:rsid w:val="00CA6E96"/>
    <w:rsid w:val="00CC400E"/>
    <w:rsid w:val="00CC6448"/>
    <w:rsid w:val="00CD6B58"/>
    <w:rsid w:val="00CF401E"/>
    <w:rsid w:val="00D14EBD"/>
    <w:rsid w:val="00D65BE7"/>
    <w:rsid w:val="00DB39D3"/>
    <w:rsid w:val="00E07640"/>
    <w:rsid w:val="00F74179"/>
    <w:rsid w:val="00F91CB6"/>
    <w:rsid w:val="00FB06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5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CorpodetextoChar"/>
    <w:uiPriority w:val="1"/>
    <w:qFormat/>
    <w:locked/>
    <w:rsid w:val="00445A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CorpodetextoChar">
    <w:name w:val="Corpo de texto Char"/>
    <w:basedOn w:val="DefaultParagraphFont"/>
    <w:link w:val="BodyText"/>
    <w:uiPriority w:val="1"/>
    <w:rsid w:val="00445A55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locked/>
    <w:rsid w:val="00445A55"/>
    <w:pPr>
      <w:widowControl w:val="0"/>
      <w:autoSpaceDE w:val="0"/>
      <w:autoSpaceDN w:val="0"/>
      <w:spacing w:after="0" w:line="240" w:lineRule="auto"/>
      <w:ind w:left="1312" w:right="1376" w:hanging="7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locked/>
    <w:rsid w:val="0071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674</Words>
  <Characters>3644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39</cp:revision>
  <cp:lastPrinted>2021-02-25T18:05:00Z</cp:lastPrinted>
  <dcterms:created xsi:type="dcterms:W3CDTF">2021-05-04T19:21:00Z</dcterms:created>
  <dcterms:modified xsi:type="dcterms:W3CDTF">2022-03-30T13:21:00Z</dcterms:modified>
</cp:coreProperties>
</file>