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5599A79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 xml:space="preserve">seja realizada a 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>troca de todas as lâmpadas queimadas da Praça Rosa Maluf</w:t>
      </w:r>
      <w:r w:rsidR="001155B9">
        <w:rPr>
          <w:rFonts w:ascii="Arial" w:hAnsi="Arial" w:cs="Arial"/>
          <w:b/>
          <w:sz w:val="24"/>
          <w:szCs w:val="24"/>
          <w:u w:val="single"/>
        </w:rPr>
        <w:t>f</w:t>
      </w:r>
      <w:bookmarkStart w:id="1" w:name="_GoBack"/>
      <w:bookmarkEnd w:id="1"/>
      <w:r w:rsidRPr="008E7EC3" w:rsidR="008E7EC3">
        <w:rPr>
          <w:rFonts w:ascii="Arial" w:hAnsi="Arial" w:cs="Arial"/>
          <w:b/>
          <w:sz w:val="24"/>
          <w:szCs w:val="24"/>
          <w:u w:val="single"/>
        </w:rPr>
        <w:t>, localizada na Região Central (em frente ao Shopping Park City Sumaré)</w:t>
      </w:r>
      <w:r w:rsidRPr="008E7EC3" w:rsidR="00E6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35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8811-FDEA-4D9E-AA51-C6D687BA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2022-03-28T22:08:00Z</dcterms:created>
  <dcterms:modified xsi:type="dcterms:W3CDTF">2022-03-28T22:11:00Z</dcterms:modified>
</cp:coreProperties>
</file>