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ensino em período integral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salas 1ºA, 1ºB e 2ºB da escola EMEI São Judas Tadeu.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2022.</w:t>
      </w: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58297468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3912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85591148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9356017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58939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664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6287473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31396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5614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"/>
    <w:next w:val="normal1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"/>
    <w:next w:val="normal1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"/>
    <w:next w:val="normal1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"/>
    <w:next w:val="normal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"/>
    <w:next w:val="normal1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"/>
    <w:next w:val="normal1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1"/>
    <w:next w:val="normal1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"/>
    <w:next w:val="normal1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"/>
    <w:next w:val="normal1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"/>
    <w:next w:val="normal1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"/>
    <w:next w:val="normal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"/>
    <w:next w:val="normal1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"/>
    <w:next w:val="normal1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1"/>
    <w:next w:val="normal1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"/>
    <w:next w:val="normal1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"/>
    <w:next w:val="normal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KbyPBSNtaogX/9AwqpsIyXNmtg==">AMUW2mXZLcy/thArhp9bGcFMDttNo0ieD+iQT6AqweUlgCUQKgslNdo59keDai3Ekr0LGQ/PJApge7okp+1F0wv/Mna1ob/c9FNquQR82TTnzTnlc6OzWarMLkfHCL3ok9VxZInbua27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