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E06B64" w:rsidP="00243D1B" w14:paraId="6A43D66E" w14:textId="7A928D2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B3310F">
        <w:rPr>
          <w:sz w:val="27"/>
          <w:szCs w:val="27"/>
        </w:rPr>
        <w:t xml:space="preserve">nas ruas e áreas públicas do </w:t>
      </w:r>
      <w:r w:rsidR="0086575D">
        <w:rPr>
          <w:sz w:val="27"/>
          <w:szCs w:val="27"/>
        </w:rPr>
        <w:t xml:space="preserve">bairro </w:t>
      </w:r>
      <w:r w:rsidR="00040B64">
        <w:rPr>
          <w:sz w:val="27"/>
          <w:szCs w:val="27"/>
        </w:rPr>
        <w:t>Parque Residencial Casarão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308E5FE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B3310F">
        <w:rPr>
          <w:sz w:val="27"/>
          <w:szCs w:val="27"/>
        </w:rPr>
        <w:t>em ruas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75D7F2F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diversas ruas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2EB6FD47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FE7980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372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73AB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743BD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E79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2022-03-25T13:30:00Z</dcterms:created>
  <dcterms:modified xsi:type="dcterms:W3CDTF">2022-03-28T14:37:00Z</dcterms:modified>
</cp:coreProperties>
</file>