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49705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B536F8">
        <w:rPr>
          <w:rFonts w:ascii="Arial" w:hAnsi="Arial" w:cs="Arial"/>
          <w:sz w:val="24"/>
          <w:szCs w:val="24"/>
        </w:rPr>
        <w:t>Guaembi</w:t>
      </w:r>
      <w:r w:rsidR="00323025">
        <w:rPr>
          <w:rFonts w:ascii="Arial" w:hAnsi="Arial" w:cs="Arial"/>
          <w:sz w:val="24"/>
          <w:szCs w:val="24"/>
        </w:rPr>
        <w:t xml:space="preserve">, bairro Parque </w:t>
      </w:r>
      <w:r w:rsidR="00F1074F">
        <w:rPr>
          <w:rFonts w:ascii="Arial" w:hAnsi="Arial" w:cs="Arial"/>
          <w:sz w:val="24"/>
          <w:szCs w:val="24"/>
        </w:rPr>
        <w:t>Residencial Salerno</w:t>
      </w:r>
      <w:r w:rsidR="0032302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2B0D" w:rsidP="00A52B0D" w14:paraId="0BFC4458" w14:textId="1C15E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7259D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87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B768D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259D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52B0D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536F8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B60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1074F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1623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2022-03-28T15:56:00Z</dcterms:created>
  <dcterms:modified xsi:type="dcterms:W3CDTF">2022-03-28T15:56:00Z</dcterms:modified>
</cp:coreProperties>
</file>