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244D98F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4F40F5">
        <w:rPr>
          <w:rFonts w:ascii="Arial" w:hAnsi="Arial" w:cs="Arial"/>
          <w:b/>
          <w:sz w:val="22"/>
          <w:szCs w:val="22"/>
        </w:rPr>
        <w:t xml:space="preserve"> </w:t>
      </w:r>
      <w:r w:rsidRPr="00AD1C63">
        <w:rPr>
          <w:rFonts w:ascii="Arial" w:hAnsi="Arial" w:cs="Arial"/>
          <w:b/>
          <w:sz w:val="22"/>
          <w:szCs w:val="22"/>
        </w:rPr>
        <w:t>Praça José Ribeiro de Andrade, Parque das Nações.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D1AE5" w:rsidP="006D1AE5" w14:paraId="62F98AF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14595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232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AE5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4D9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B7D07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4E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4BD9-BC88-484B-8DB7-3EF331B6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2021-12-13T16:52:00Z</dcterms:created>
  <dcterms:modified xsi:type="dcterms:W3CDTF">2022-03-28T11:46:00Z</dcterms:modified>
</cp:coreProperties>
</file>