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F5090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7321EC" w:rsidR="007321EC">
        <w:rPr>
          <w:rFonts w:ascii="Tahoma" w:hAnsi="Tahoma" w:cs="Tahoma"/>
          <w:b/>
          <w:sz w:val="24"/>
          <w:szCs w:val="24"/>
        </w:rPr>
        <w:t>Rua Visconde de Mauá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4022B">
        <w:rPr>
          <w:rFonts w:ascii="Tahoma" w:hAnsi="Tahoma" w:cs="Tahoma"/>
          <w:sz w:val="24"/>
          <w:szCs w:val="24"/>
        </w:rPr>
        <w:t>em frente ao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número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</w:t>
      </w:r>
      <w:r w:rsidRPr="007321EC" w:rsidR="007321EC">
        <w:rPr>
          <w:rFonts w:ascii="Tahoma" w:hAnsi="Tahoma" w:cs="Tahoma"/>
          <w:sz w:val="24"/>
          <w:szCs w:val="24"/>
        </w:rPr>
        <w:t>40, 107 e 196</w:t>
      </w:r>
      <w:r w:rsidRPr="00C44A48" w:rsidR="00C44A48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321EC" w:rsidR="007321EC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087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3ABD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6828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2022-03-22T12:47:00Z</dcterms:created>
  <dcterms:modified xsi:type="dcterms:W3CDTF">2022-03-22T12:56:00Z</dcterms:modified>
</cp:coreProperties>
</file>