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062F7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D533E">
        <w:rPr>
          <w:rFonts w:ascii="Arial" w:hAnsi="Arial" w:cs="Arial"/>
          <w:sz w:val="24"/>
          <w:szCs w:val="24"/>
        </w:rPr>
        <w:t>a conclusão de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76197">
        <w:rPr>
          <w:rFonts w:ascii="Arial" w:hAnsi="Arial" w:cs="Arial"/>
          <w:sz w:val="24"/>
          <w:szCs w:val="24"/>
        </w:rPr>
        <w:t>Idalina Rodrigues da Silva</w:t>
      </w:r>
      <w:r w:rsidR="00F83800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F8F08D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733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160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1C38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719FF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D533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1611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4</cp:revision>
  <cp:lastPrinted>2021-02-25T18:05:00Z</cp:lastPrinted>
  <dcterms:created xsi:type="dcterms:W3CDTF">2022-03-03T18:15:00Z</dcterms:created>
  <dcterms:modified xsi:type="dcterms:W3CDTF">2022-03-03T18:16:00Z</dcterms:modified>
</cp:coreProperties>
</file>