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2F687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DC7042">
        <w:rPr>
          <w:rFonts w:ascii="Arial" w:hAnsi="Arial" w:cs="Arial"/>
          <w:sz w:val="24"/>
          <w:szCs w:val="24"/>
        </w:rPr>
        <w:t>Elisabetta Bettilana,</w:t>
      </w:r>
      <w:r w:rsidR="001153EB">
        <w:rPr>
          <w:rFonts w:ascii="Arial" w:hAnsi="Arial" w:cs="Arial"/>
          <w:sz w:val="24"/>
          <w:szCs w:val="24"/>
        </w:rPr>
        <w:t xml:space="preserve"> bairro Ângelo Tomazin.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5AA2" w:rsidP="006C5AA2" w14:paraId="7E1B3F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279774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3EB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25052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93922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C5AA2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3</cp:revision>
  <cp:lastPrinted>2021-02-25T18:05:00Z</cp:lastPrinted>
  <dcterms:created xsi:type="dcterms:W3CDTF">2022-03-03T13:43:00Z</dcterms:created>
  <dcterms:modified xsi:type="dcterms:W3CDTF">2022-03-03T13:44:00Z</dcterms:modified>
</cp:coreProperties>
</file>