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7516F2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à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1B3DDF">
        <w:rPr>
          <w:rFonts w:ascii="Arial" w:eastAsia="MS Mincho" w:hAnsi="Arial" w:cs="Arial"/>
          <w:b/>
          <w:bCs/>
          <w:sz w:val="28"/>
          <w:szCs w:val="28"/>
        </w:rPr>
        <w:t>troca da grade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721857">
        <w:rPr>
          <w:rFonts w:ascii="Arial" w:eastAsia="MS Mincho" w:hAnsi="Arial" w:cs="Arial"/>
          <w:b/>
          <w:bCs/>
          <w:sz w:val="28"/>
          <w:szCs w:val="28"/>
        </w:rPr>
        <w:t>223,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687F488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8D0823">
        <w:rPr>
          <w:rFonts w:ascii="Arial" w:eastAsia="MS Mincho" w:hAnsi="Arial" w:cs="Arial"/>
          <w:sz w:val="28"/>
          <w:szCs w:val="28"/>
        </w:rPr>
        <w:t>com a sua grade danificada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369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D9517-CCD4-48E1-AE0A-F6B8F3F6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2022-03-02T22:57:00Z</dcterms:created>
  <dcterms:modified xsi:type="dcterms:W3CDTF">2022-03-02T22:57:00Z</dcterms:modified>
</cp:coreProperties>
</file>