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5403682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5904CC">
        <w:rPr>
          <w:rFonts w:ascii="Arial" w:hAnsi="Arial" w:cs="Arial"/>
          <w:sz w:val="24"/>
          <w:szCs w:val="24"/>
        </w:rPr>
        <w:t xml:space="preserve">Avenida </w:t>
      </w:r>
      <w:r w:rsidR="005904CC">
        <w:rPr>
          <w:rFonts w:ascii="Arial" w:hAnsi="Arial" w:cs="Arial"/>
          <w:sz w:val="24"/>
          <w:szCs w:val="24"/>
        </w:rPr>
        <w:t>Minasa</w:t>
      </w:r>
      <w:r w:rsidR="005904CC">
        <w:rPr>
          <w:rFonts w:ascii="Arial" w:hAnsi="Arial" w:cs="Arial"/>
          <w:sz w:val="24"/>
          <w:szCs w:val="24"/>
        </w:rPr>
        <w:t>, bairro Jardim Santa Teresinha.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2288DB4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21 de fevereiro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206685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0E6D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156"/>
    <w:rsid w:val="009C13B9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30D1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0219"/>
    <w:rsid w:val="00F71869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2022-02-21T14:34:00Z</dcterms:created>
  <dcterms:modified xsi:type="dcterms:W3CDTF">2022-02-21T14:34:00Z</dcterms:modified>
</cp:coreProperties>
</file>