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2CACDD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62F5E">
        <w:rPr>
          <w:rFonts w:ascii="Arial" w:eastAsia="MS Mincho" w:hAnsi="Arial" w:cs="Arial"/>
          <w:b/>
          <w:bCs/>
          <w:sz w:val="28"/>
          <w:szCs w:val="28"/>
        </w:rPr>
        <w:t>Bruna Procópio da Costa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62F5E">
        <w:rPr>
          <w:rFonts w:ascii="Arial" w:eastAsia="MS Mincho" w:hAnsi="Arial" w:cs="Arial"/>
          <w:b/>
          <w:bCs/>
          <w:sz w:val="28"/>
          <w:szCs w:val="28"/>
        </w:rPr>
        <w:t>altura do nº 15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0862FE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562F5E">
        <w:rPr>
          <w:rFonts w:ascii="Arial" w:eastAsia="MS Mincho" w:hAnsi="Arial" w:cs="Arial"/>
          <w:b/>
          <w:bCs/>
          <w:sz w:val="28"/>
          <w:szCs w:val="28"/>
        </w:rPr>
        <w:t>Dos Ipês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619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62F5E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62F5E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B544-A26D-48BC-8F14-523A676E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2022-02-14T19:30:00Z</dcterms:created>
  <dcterms:modified xsi:type="dcterms:W3CDTF">2022-02-14T19:30:00Z</dcterms:modified>
</cp:coreProperties>
</file>