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13BE06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Praça </w:t>
      </w:r>
      <w:r w:rsidR="00EB18DB">
        <w:rPr>
          <w:rFonts w:ascii="Arial" w:hAnsi="Arial" w:cs="Arial"/>
          <w:b/>
          <w:sz w:val="22"/>
          <w:szCs w:val="22"/>
        </w:rPr>
        <w:t>das Nações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Jardim Santa </w:t>
      </w:r>
      <w:r w:rsidR="00EB18DB">
        <w:rPr>
          <w:rFonts w:ascii="Arial" w:hAnsi="Arial" w:cs="Arial"/>
          <w:b/>
          <w:sz w:val="22"/>
          <w:szCs w:val="22"/>
        </w:rPr>
        <w:t>Maria</w:t>
      </w:r>
      <w:bookmarkEnd w:id="1"/>
      <w:r w:rsidRPr="00073110" w:rsidR="00073110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783980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6478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339C4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D779-A652-413F-A4E1-4D538B34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2021-12-13T16:43:00Z</dcterms:created>
  <dcterms:modified xsi:type="dcterms:W3CDTF">2021-12-13T16:43:00Z</dcterms:modified>
</cp:coreProperties>
</file>