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3FBB5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492ACC">
        <w:rPr>
          <w:rFonts w:ascii="Arial" w:eastAsia="MS Mincho" w:hAnsi="Arial" w:cs="Arial"/>
          <w:b/>
          <w:bCs/>
          <w:sz w:val="28"/>
          <w:szCs w:val="28"/>
        </w:rPr>
        <w:t>instalação de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grades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>Guaembi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próximo ao n° 116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>bairro Pq. Residencial Salerno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1E2E0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</w:t>
      </w:r>
      <w:r w:rsidR="003F7514">
        <w:rPr>
          <w:rFonts w:ascii="Arial" w:eastAsia="MS Mincho" w:hAnsi="Arial" w:cs="Arial"/>
          <w:sz w:val="28"/>
          <w:szCs w:val="28"/>
        </w:rPr>
        <w:t>falta de reparo na boca-</w:t>
      </w:r>
      <w:r w:rsidR="00492ACC">
        <w:rPr>
          <w:rFonts w:ascii="Arial" w:eastAsia="MS Mincho" w:hAnsi="Arial" w:cs="Arial"/>
          <w:sz w:val="28"/>
          <w:szCs w:val="28"/>
        </w:rPr>
        <w:t>de-lobo, 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44D0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A7C7-8A57-46CE-B8F0-EB851350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2021-11-15T15:34:00Z</dcterms:created>
  <dcterms:modified xsi:type="dcterms:W3CDTF">2021-11-15T15:34:00Z</dcterms:modified>
</cp:coreProperties>
</file>