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868A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F50C34">
        <w:rPr>
          <w:rFonts w:ascii="Arial" w:hAnsi="Arial" w:cs="Arial"/>
          <w:sz w:val="24"/>
          <w:szCs w:val="24"/>
        </w:rPr>
        <w:t xml:space="preserve">Maria </w:t>
      </w:r>
      <w:r w:rsidR="00F50C34">
        <w:rPr>
          <w:rFonts w:ascii="Arial" w:hAnsi="Arial" w:cs="Arial"/>
          <w:sz w:val="24"/>
          <w:szCs w:val="24"/>
        </w:rPr>
        <w:t>Gheller</w:t>
      </w:r>
      <w:r w:rsidR="00F50C34">
        <w:rPr>
          <w:rFonts w:ascii="Arial" w:hAnsi="Arial" w:cs="Arial"/>
          <w:sz w:val="24"/>
          <w:szCs w:val="24"/>
        </w:rPr>
        <w:t xml:space="preserve"> Mancini, bairro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EA0D5F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F50C34">
        <w:rPr>
          <w:rFonts w:ascii="Arial" w:hAnsi="Arial" w:cs="Arial"/>
          <w:sz w:val="24"/>
          <w:szCs w:val="24"/>
        </w:rPr>
        <w:t>1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824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67BFE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2021-11-11T19:25:00Z</dcterms:created>
  <dcterms:modified xsi:type="dcterms:W3CDTF">2021-11-11T19:25:00Z</dcterms:modified>
</cp:coreProperties>
</file>