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1D882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83665">
        <w:rPr>
          <w:rFonts w:ascii="Bookman Old Style" w:hAnsi="Bookman Old Style" w:cs="Arial"/>
          <w:b/>
          <w:sz w:val="24"/>
          <w:szCs w:val="24"/>
          <w:lang w:val="pt"/>
        </w:rPr>
        <w:t>instalação de braço para iluminação pública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 xml:space="preserve">Rua João Jacob 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>, altura do nº 9</w:t>
      </w:r>
      <w:r w:rsidR="00283665">
        <w:rPr>
          <w:rFonts w:ascii="Bookman Old Style" w:hAnsi="Bookman Old Style" w:cs="Arial"/>
          <w:sz w:val="24"/>
          <w:szCs w:val="24"/>
          <w:lang w:val="pt"/>
        </w:rPr>
        <w:t>58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>,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663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B244B"/>
    <w:rsid w:val="001C7306"/>
    <w:rsid w:val="00202429"/>
    <w:rsid w:val="00220DFC"/>
    <w:rsid w:val="00223ACE"/>
    <w:rsid w:val="00244780"/>
    <w:rsid w:val="00283665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9B6765"/>
    <w:rsid w:val="00A3304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2021-06-14T19:22:00Z</dcterms:created>
  <dcterms:modified xsi:type="dcterms:W3CDTF">2021-11-08T14:37:00Z</dcterms:modified>
</cp:coreProperties>
</file>