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068B" w:rsidRPr="008910ED" w:rsidP="00AF068B" w14:paraId="55CA98A5" w14:textId="77777777">
      <w:pPr>
        <w:spacing w:before="240" w:after="240" w:line="360" w:lineRule="auto"/>
        <w:ind w:right="-568"/>
        <w:rPr>
          <w:rFonts w:ascii="Arial" w:hAnsi="Arial" w:cs="Arial"/>
          <w:sz w:val="27"/>
          <w:szCs w:val="27"/>
        </w:rPr>
      </w:pPr>
      <w:permStart w:id="0" w:edGrp="everyone"/>
    </w:p>
    <w:p w:rsidR="00AF068B" w:rsidRPr="008910ED" w:rsidP="00AF068B" w14:paraId="584EC603" w14:textId="77777777">
      <w:pPr>
        <w:pStyle w:val="NoSpacing"/>
        <w:spacing w:before="240" w:after="240" w:line="360" w:lineRule="auto"/>
        <w:ind w:right="-568"/>
        <w:jc w:val="center"/>
        <w:rPr>
          <w:rStyle w:val="Strong"/>
          <w:rFonts w:ascii="Arial" w:hAnsi="Arial" w:cs="Arial"/>
          <w:b w:val="0"/>
          <w:bCs w:val="0"/>
          <w:sz w:val="27"/>
          <w:szCs w:val="27"/>
        </w:rPr>
      </w:pPr>
      <w:r w:rsidRPr="008910ED">
        <w:rPr>
          <w:rStyle w:val="Strong"/>
          <w:rFonts w:ascii="Arial" w:hAnsi="Arial" w:cs="Arial"/>
          <w:sz w:val="27"/>
          <w:szCs w:val="27"/>
        </w:rPr>
        <w:t>EXMO. SR. PRESIDENTE DA CÂMARA MUNICIPAL DE SUMARÉ</w:t>
      </w:r>
    </w:p>
    <w:p w:rsidR="00AF068B" w:rsidRPr="008910ED" w:rsidP="00AF068B" w14:paraId="610F3349" w14:textId="77777777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</w:p>
    <w:p w:rsidR="00AF068B" w:rsidRPr="008910ED" w:rsidP="00AF068B" w14:paraId="1F2F5B54" w14:textId="77777777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</w:p>
    <w:p w:rsidR="00AF068B" w:rsidRPr="008910ED" w:rsidP="00AF068B" w14:paraId="76CF56E4" w14:textId="77777777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 w:rsidRPr="008910ED">
        <w:rPr>
          <w:rFonts w:ascii="Arial" w:hAnsi="Arial" w:cs="Arial"/>
          <w:sz w:val="27"/>
          <w:szCs w:val="27"/>
        </w:rPr>
        <w:t>CONSIDERANDO que é papel desta Casa de Leis legislar e fiscalizar questões relacionadas ao interesse público no âmbito do Município de Sumaré e deste parlamentar defender e fazer cumprir as Constituições Federal e Estadual, Lei Orgânica do Município e demais legislações vigentes;</w:t>
      </w:r>
    </w:p>
    <w:p w:rsidR="00AF068B" w:rsidRPr="008910ED" w:rsidP="00AF068B" w14:paraId="0B455D92" w14:textId="77777777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 w:rsidRPr="008910ED">
        <w:rPr>
          <w:rFonts w:ascii="Arial" w:hAnsi="Arial" w:cs="Arial"/>
          <w:sz w:val="27"/>
          <w:szCs w:val="27"/>
        </w:rPr>
        <w:t xml:space="preserve">CONSIDERANDO que a </w:t>
      </w:r>
      <w:hyperlink r:id="rId5" w:history="1">
        <w:r w:rsidRPr="008910ED">
          <w:rPr>
            <w:rFonts w:ascii="Arial" w:hAnsi="Arial" w:cs="Arial"/>
            <w:sz w:val="27"/>
            <w:szCs w:val="27"/>
          </w:rPr>
          <w:t>Lei nº 8.987, de 13 de fevereiro de 1995</w:t>
        </w:r>
      </w:hyperlink>
      <w:r w:rsidRPr="008910ED">
        <w:rPr>
          <w:rFonts w:ascii="Arial" w:hAnsi="Arial" w:cs="Arial"/>
          <w:sz w:val="27"/>
          <w:szCs w:val="27"/>
        </w:rPr>
        <w:t xml:space="preserve"> estabelece que o usuário de serviços públicos que são prestados sob o regime de concessão tem o direito de comunicar às autoridades competentes os atos ilícitos praticados por concessionárias no exercício de suas atividades;</w:t>
      </w:r>
    </w:p>
    <w:p w:rsidR="00AF068B" w:rsidRPr="008910ED" w:rsidP="00AF068B" w14:paraId="7F235D83" w14:textId="77777777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 w:rsidRPr="008910ED">
        <w:rPr>
          <w:rFonts w:ascii="Arial" w:hAnsi="Arial" w:cs="Arial"/>
          <w:sz w:val="27"/>
          <w:szCs w:val="27"/>
        </w:rPr>
        <w:t>CONSIDERANDO que chegou ao conhecimento deste Vereador denúncias gravíssimas envolvendo a empresa BRK Ambiental, cujas fontes se reserva o direito de manter em sigilo neste momento, conforme prerrogativa parlamentar assegurada pelo art. 25 da Lei Orgânica</w:t>
      </w:r>
      <w:r>
        <w:rPr>
          <w:rFonts w:ascii="Arial" w:hAnsi="Arial" w:cs="Arial"/>
          <w:sz w:val="27"/>
          <w:szCs w:val="27"/>
        </w:rPr>
        <w:t xml:space="preserve"> municipal</w:t>
      </w:r>
      <w:r w:rsidRPr="008910ED">
        <w:rPr>
          <w:rFonts w:ascii="Arial" w:hAnsi="Arial" w:cs="Arial"/>
          <w:sz w:val="27"/>
          <w:szCs w:val="27"/>
        </w:rPr>
        <w:t>;</w:t>
      </w:r>
    </w:p>
    <w:p w:rsidR="00AF068B" w:rsidRPr="008910ED" w:rsidP="00AF068B" w14:paraId="0AC762A1" w14:textId="77777777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 w:rsidRPr="008910ED">
        <w:rPr>
          <w:rFonts w:ascii="Arial" w:hAnsi="Arial" w:cs="Arial"/>
          <w:sz w:val="27"/>
          <w:szCs w:val="27"/>
        </w:rPr>
        <w:t>CONSIDERANDO que as referidas denúncias levaram a</w:t>
      </w:r>
      <w:r>
        <w:rPr>
          <w:rFonts w:ascii="Arial" w:hAnsi="Arial" w:cs="Arial"/>
          <w:sz w:val="27"/>
          <w:szCs w:val="27"/>
        </w:rPr>
        <w:t>o</w:t>
      </w:r>
      <w:r w:rsidRPr="008910ED">
        <w:rPr>
          <w:rFonts w:ascii="Arial" w:hAnsi="Arial" w:cs="Arial"/>
          <w:sz w:val="27"/>
          <w:szCs w:val="27"/>
        </w:rPr>
        <w:t xml:space="preserve"> conhecimento deste Parlamentar que a empresa BRK Ambiental tem condicionado a ligação dos sistemas de água e esgoto de novos empreendimentos ao pagamento de importância em dinheiro, denominada como “</w:t>
      </w:r>
      <w:r>
        <w:rPr>
          <w:rFonts w:ascii="Arial" w:hAnsi="Arial" w:cs="Arial"/>
          <w:sz w:val="27"/>
          <w:szCs w:val="27"/>
        </w:rPr>
        <w:t>contrapartida</w:t>
      </w:r>
      <w:r w:rsidRPr="008910ED">
        <w:rPr>
          <w:rFonts w:ascii="Arial" w:hAnsi="Arial" w:cs="Arial"/>
          <w:sz w:val="27"/>
          <w:szCs w:val="27"/>
        </w:rPr>
        <w:t xml:space="preserve">”, sob a alegação de que seria necessária a readequação das redes de água e de coleta de esgoto existentes para suportar novas demanda; </w:t>
      </w:r>
    </w:p>
    <w:p w:rsidR="00AF068B" w:rsidRPr="008910ED" w:rsidP="00AF068B" w14:paraId="1E1F6DAB" w14:textId="77777777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 w:rsidRPr="008910ED">
        <w:rPr>
          <w:rFonts w:ascii="Arial" w:hAnsi="Arial" w:cs="Arial"/>
          <w:sz w:val="27"/>
          <w:szCs w:val="27"/>
        </w:rPr>
        <w:t xml:space="preserve">CONSIDERANDO que as concessionárias e permissionárias de serviço público devem suportar as despesas relacionadas aos riscos de suas </w:t>
      </w:r>
      <w:r w:rsidRPr="008910ED">
        <w:rPr>
          <w:rFonts w:ascii="Arial" w:hAnsi="Arial" w:cs="Arial"/>
          <w:sz w:val="27"/>
          <w:szCs w:val="27"/>
        </w:rPr>
        <w:t>atividades, não podendo os custos de seus investimentos ser repassados aos idealizadores de novos empreendimentos, a título de supostas “</w:t>
      </w:r>
      <w:r>
        <w:rPr>
          <w:rFonts w:ascii="Arial" w:hAnsi="Arial" w:cs="Arial"/>
          <w:sz w:val="27"/>
          <w:szCs w:val="27"/>
        </w:rPr>
        <w:t>contrapartida</w:t>
      </w:r>
      <w:r w:rsidRPr="008910ED">
        <w:rPr>
          <w:rFonts w:ascii="Arial" w:hAnsi="Arial" w:cs="Arial"/>
          <w:sz w:val="27"/>
          <w:szCs w:val="27"/>
        </w:rPr>
        <w:t>”, sem qualquer motivo plausível ou legal para tanto;</w:t>
      </w:r>
    </w:p>
    <w:p w:rsidR="00AF068B" w:rsidRPr="008910ED" w:rsidP="00AF068B" w14:paraId="36BEEEEC" w14:textId="77777777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 w:rsidRPr="008910ED">
        <w:rPr>
          <w:rFonts w:ascii="Arial" w:hAnsi="Arial" w:cs="Arial"/>
          <w:sz w:val="27"/>
          <w:szCs w:val="27"/>
        </w:rPr>
        <w:t xml:space="preserve">CONSIDERANDO que a remuneração, faturamento e margem de lucro da concessionária deve decorrer dos valores cobrados dos usuários à título de tarifa e não de exigências de valores a serem pagos a título de </w:t>
      </w:r>
      <w:r>
        <w:rPr>
          <w:rFonts w:ascii="Arial" w:hAnsi="Arial" w:cs="Arial"/>
          <w:sz w:val="27"/>
          <w:szCs w:val="27"/>
        </w:rPr>
        <w:t>contrapartida</w:t>
      </w:r>
      <w:r w:rsidRPr="008910ED">
        <w:rPr>
          <w:rFonts w:ascii="Arial" w:hAnsi="Arial" w:cs="Arial"/>
          <w:sz w:val="27"/>
          <w:szCs w:val="27"/>
        </w:rPr>
        <w:t>;</w:t>
      </w:r>
    </w:p>
    <w:p w:rsidR="00AF068B" w:rsidRPr="008910ED" w:rsidP="00AF068B" w14:paraId="55E0973E" w14:textId="77777777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 w:rsidRPr="008910ED">
        <w:rPr>
          <w:rFonts w:ascii="Arial" w:hAnsi="Arial" w:cs="Arial"/>
          <w:sz w:val="27"/>
          <w:szCs w:val="27"/>
        </w:rPr>
        <w:t xml:space="preserve">CONSIDERANDO que a </w:t>
      </w:r>
      <w:hyperlink r:id="rId5" w:history="1">
        <w:r w:rsidRPr="008910ED">
          <w:rPr>
            <w:rFonts w:ascii="Arial" w:hAnsi="Arial" w:cs="Arial"/>
            <w:sz w:val="27"/>
            <w:szCs w:val="27"/>
          </w:rPr>
          <w:t>Lei nº 8.987, de 13 de fevereiro de 1995</w:t>
        </w:r>
      </w:hyperlink>
      <w:r w:rsidRPr="008910ED">
        <w:rPr>
          <w:rFonts w:ascii="Arial" w:hAnsi="Arial" w:cs="Arial"/>
          <w:sz w:val="27"/>
          <w:szCs w:val="27"/>
        </w:rPr>
        <w:t> estabelece que cabe a concessionária de serviços públicos  cumprir e fazer cumprir as normas do serviço e as cláusulas contratuais da concessão, bem como, nos termos do artigo 22 do Código de Defesa do Consumidor fornecer serviços adequados, eficientes, seguros e, quanto aos essenciais, contínuos;</w:t>
      </w:r>
    </w:p>
    <w:p w:rsidR="00AF068B" w:rsidRPr="008910ED" w:rsidP="00AF068B" w14:paraId="2417189E" w14:textId="77777777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 w:rsidRPr="008910ED">
        <w:rPr>
          <w:rFonts w:ascii="Arial" w:hAnsi="Arial" w:cs="Arial"/>
          <w:sz w:val="27"/>
          <w:szCs w:val="27"/>
        </w:rPr>
        <w:t>CONSIDERANDO que o Colendo Tribunal e Justiça de São Paulo reconheceu que a cobrança de valores pela concessionária de água e esgoto a título de contrapartida é inadmissível e que impor ao particular que arque com as referidas despesas configura o enriquecimento ilícito por parte da concessionária (</w:t>
      </w:r>
      <w:r w:rsidRPr="008E3FC2">
        <w:rPr>
          <w:rFonts w:ascii="Arial" w:hAnsi="Arial" w:cs="Arial"/>
          <w:sz w:val="27"/>
          <w:szCs w:val="27"/>
        </w:rPr>
        <w:t>Processo nº 1006746-47.2018.8.26.0320, julgado em</w:t>
      </w:r>
      <w:r w:rsidRPr="008910ED">
        <w:rPr>
          <w:rFonts w:ascii="Arial" w:hAnsi="Arial" w:cs="Arial"/>
          <w:sz w:val="27"/>
          <w:szCs w:val="27"/>
        </w:rPr>
        <w:t xml:space="preserve"> </w:t>
      </w:r>
      <w:r>
        <w:rPr>
          <w:rFonts w:ascii="Arial" w:hAnsi="Arial" w:cs="Arial"/>
          <w:sz w:val="27"/>
          <w:szCs w:val="27"/>
        </w:rPr>
        <w:t>22/07/2019)</w:t>
      </w:r>
      <w:r w:rsidRPr="008910ED">
        <w:rPr>
          <w:rFonts w:ascii="Arial" w:hAnsi="Arial" w:cs="Arial"/>
          <w:sz w:val="27"/>
          <w:szCs w:val="27"/>
        </w:rPr>
        <w:t>;</w:t>
      </w:r>
    </w:p>
    <w:p w:rsidR="00AF068B" w:rsidP="00AF068B" w14:paraId="251818E0" w14:textId="77777777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 w:rsidRPr="008910ED">
        <w:rPr>
          <w:rFonts w:ascii="Arial" w:hAnsi="Arial" w:cs="Arial"/>
          <w:sz w:val="27"/>
          <w:szCs w:val="27"/>
        </w:rPr>
        <w:t xml:space="preserve">CONSIDERANDO que a cobrança contrapartida pela concessionária sem qualquer previsão contratual e ao final das obras, surpreendendo os envolvidos com tal exigência configura prática extremamente nociva, pois retira toda a previsibilidade do orçamento estimado para conclusão das obras; </w:t>
      </w:r>
    </w:p>
    <w:p w:rsidR="00AF068B" w:rsidP="00AF068B" w14:paraId="287F1B0C" w14:textId="77777777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 w:rsidRPr="008910ED">
        <w:rPr>
          <w:rFonts w:ascii="Arial" w:hAnsi="Arial" w:cs="Arial"/>
          <w:sz w:val="27"/>
          <w:szCs w:val="27"/>
        </w:rPr>
        <w:t>CONSIDERANDO que a empresa BRK Ambiental, ao condicionar o fornecimento de água e tratamento de esgoto ao pagamento da denominada “</w:t>
      </w:r>
      <w:r>
        <w:rPr>
          <w:rFonts w:ascii="Arial" w:hAnsi="Arial" w:cs="Arial"/>
          <w:sz w:val="27"/>
          <w:szCs w:val="27"/>
        </w:rPr>
        <w:t>contrapartida</w:t>
      </w:r>
      <w:r w:rsidRPr="008910ED">
        <w:rPr>
          <w:rFonts w:ascii="Arial" w:hAnsi="Arial" w:cs="Arial"/>
          <w:sz w:val="27"/>
          <w:szCs w:val="27"/>
        </w:rPr>
        <w:t xml:space="preserve">” desestimula os investimentos na criação de novos empreendimentos e, por consequência, inviabiliza a criação de novas fontes produtoras de riquezas, empregos, arrecadação de tributos e estímulos à atividade econômica; </w:t>
      </w:r>
    </w:p>
    <w:p w:rsidR="00AF068B" w:rsidRPr="008910ED" w:rsidP="00AF068B" w14:paraId="2F3D74C0" w14:textId="77777777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 w:rsidRPr="008910ED">
        <w:rPr>
          <w:rFonts w:ascii="Arial" w:hAnsi="Arial" w:cs="Arial"/>
          <w:sz w:val="27"/>
          <w:szCs w:val="27"/>
        </w:rPr>
        <w:t>CONSIDERANDO que o Colendo Tribunal de Justiça de São Paulo já decidiu que a concessionária de água e esgoto não pode transferir aos particulares o custo com a estrutura inerente à prestação do próprio serviço, sob pena de enriquecimento indevido. (Apelação nº 1000975-16.2016.8.26.0108, julgamento em 04/12/2017).</w:t>
      </w:r>
    </w:p>
    <w:p w:rsidR="00AF068B" w:rsidP="00AF068B" w14:paraId="63B4B7F9" w14:textId="77777777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 w:rsidRPr="008910ED">
        <w:rPr>
          <w:rFonts w:ascii="Arial" w:hAnsi="Arial" w:cs="Arial"/>
          <w:sz w:val="27"/>
          <w:szCs w:val="27"/>
        </w:rPr>
        <w:t>CONSIDERANDO que o Colendo Tribunal de Justiça de São Paulo já reconheceu que a cobrança de contrapartida exigida em razão de pedido de ligação definitiva de água possui a natureza jurídica de taxa e, portanto, sua criação somente pode ser criada por lei, conforme disposto no artigo 150, inciso I, da Constituição Federal e no artigo 97 do Código Tributário Nacional (Apelação nº 1002415-81.2017.8.26.0344, julgamento em 28.02.2 018)</w:t>
      </w:r>
      <w:r>
        <w:rPr>
          <w:rFonts w:ascii="Arial" w:hAnsi="Arial" w:cs="Arial"/>
          <w:sz w:val="27"/>
          <w:szCs w:val="27"/>
        </w:rPr>
        <w:t>;</w:t>
      </w:r>
    </w:p>
    <w:p w:rsidR="00AF068B" w:rsidRPr="008910ED" w:rsidP="00AF068B" w14:paraId="2702BD93" w14:textId="77777777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 w:rsidRPr="008910ED">
        <w:rPr>
          <w:rFonts w:ascii="Arial" w:hAnsi="Arial" w:cs="Arial"/>
          <w:sz w:val="27"/>
          <w:szCs w:val="27"/>
        </w:rPr>
        <w:t>CONSIDERANDO</w:t>
      </w:r>
      <w:r>
        <w:rPr>
          <w:rFonts w:ascii="Arial" w:hAnsi="Arial" w:cs="Arial"/>
          <w:sz w:val="27"/>
          <w:szCs w:val="27"/>
        </w:rPr>
        <w:t>, por todo o exposto,</w:t>
      </w:r>
      <w:r w:rsidRPr="008910ED">
        <w:rPr>
          <w:rFonts w:ascii="Arial" w:hAnsi="Arial" w:cs="Arial"/>
          <w:sz w:val="27"/>
          <w:szCs w:val="27"/>
        </w:rPr>
        <w:t xml:space="preserve"> que o comportamento da empresa BRK Ambiental é diametralmente contrário ao </w:t>
      </w:r>
      <w:r>
        <w:rPr>
          <w:rFonts w:ascii="Arial" w:hAnsi="Arial" w:cs="Arial"/>
          <w:sz w:val="27"/>
          <w:szCs w:val="27"/>
        </w:rPr>
        <w:t xml:space="preserve">estabelecido </w:t>
      </w:r>
      <w:r w:rsidRPr="008910ED">
        <w:rPr>
          <w:rFonts w:ascii="Arial" w:hAnsi="Arial" w:cs="Arial"/>
          <w:sz w:val="27"/>
          <w:szCs w:val="27"/>
        </w:rPr>
        <w:t xml:space="preserve">no artigo 422 do Código Civil </w:t>
      </w:r>
      <w:r>
        <w:rPr>
          <w:rFonts w:ascii="Arial" w:hAnsi="Arial" w:cs="Arial"/>
          <w:sz w:val="27"/>
          <w:szCs w:val="27"/>
        </w:rPr>
        <w:t xml:space="preserve">Brasileiro </w:t>
      </w:r>
      <w:r w:rsidRPr="008910ED">
        <w:rPr>
          <w:rFonts w:ascii="Arial" w:hAnsi="Arial" w:cs="Arial"/>
          <w:sz w:val="27"/>
          <w:szCs w:val="27"/>
        </w:rPr>
        <w:t>que impõe aos contratantes a observância do princípio de probidade e boa-fé, de modo que seus atos devem ser norteados pela lealdade e cooperação, a fim de resguardar a justiça social;</w:t>
      </w:r>
    </w:p>
    <w:p w:rsidR="00AF068B" w:rsidRPr="008910ED" w:rsidP="00AF068B" w14:paraId="2F2F7C62" w14:textId="77777777">
      <w:pPr>
        <w:pStyle w:val="NormalWeb"/>
        <w:shd w:val="clear" w:color="auto" w:fill="FFFFFF"/>
        <w:spacing w:before="240" w:beforeAutospacing="0" w:after="240" w:afterAutospacing="0" w:line="360" w:lineRule="auto"/>
        <w:ind w:right="-568" w:firstLine="1418"/>
        <w:jc w:val="both"/>
        <w:rPr>
          <w:rFonts w:ascii="Arial" w:hAnsi="Arial" w:eastAsiaTheme="minorHAnsi" w:cs="Arial"/>
          <w:sz w:val="27"/>
          <w:szCs w:val="27"/>
          <w:lang w:eastAsia="en-US"/>
        </w:rPr>
      </w:pPr>
      <w:r w:rsidRPr="008910ED">
        <w:rPr>
          <w:rFonts w:ascii="Arial" w:hAnsi="Arial" w:eastAsiaTheme="minorHAnsi" w:cs="Arial"/>
          <w:sz w:val="27"/>
          <w:szCs w:val="27"/>
          <w:lang w:eastAsia="en-US"/>
        </w:rPr>
        <w:t xml:space="preserve">Requeiro pelo presente e na forma regimental, após ouvido o Plenário, que seja oficiado o exmo. sr. prefeito municipal, e </w:t>
      </w:r>
      <w:r w:rsidRPr="008910ED">
        <w:rPr>
          <w:rFonts w:ascii="Arial" w:hAnsi="Arial" w:eastAsiaTheme="minorHAnsi" w:cs="Arial"/>
          <w:b/>
          <w:bCs/>
          <w:sz w:val="27"/>
          <w:szCs w:val="27"/>
          <w:lang w:eastAsia="en-US"/>
        </w:rPr>
        <w:t xml:space="preserve">a ele solicitado que encaminhe à empresa BRK Ambiental </w:t>
      </w:r>
      <w:r w:rsidRPr="008910ED">
        <w:rPr>
          <w:rFonts w:ascii="Arial" w:hAnsi="Arial" w:eastAsiaTheme="minorHAnsi" w:cs="Arial"/>
          <w:sz w:val="27"/>
          <w:szCs w:val="27"/>
          <w:lang w:eastAsia="en-US"/>
        </w:rPr>
        <w:t>os seguintes questionamentos desta Casa de Leis:</w:t>
      </w:r>
    </w:p>
    <w:p w:rsidR="00AF068B" w:rsidRPr="008910ED" w:rsidP="00AF068B" w14:paraId="4BC3761F" w14:textId="77777777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="Arial" w:hAnsi="Arial" w:eastAsiaTheme="minorHAnsi" w:cs="Arial"/>
          <w:sz w:val="27"/>
          <w:szCs w:val="27"/>
          <w:lang w:eastAsia="en-US"/>
        </w:rPr>
      </w:pPr>
      <w:r w:rsidRPr="008910ED">
        <w:rPr>
          <w:rFonts w:ascii="Arial" w:hAnsi="Arial" w:eastAsiaTheme="minorHAnsi" w:cs="Arial"/>
          <w:sz w:val="27"/>
          <w:szCs w:val="27"/>
          <w:lang w:eastAsia="en-US"/>
        </w:rPr>
        <w:t xml:space="preserve">De quais </w:t>
      </w:r>
      <w:r w:rsidRPr="008910ED">
        <w:rPr>
          <w:rFonts w:ascii="Arial" w:hAnsi="Arial" w:eastAsiaTheme="minorHAnsi" w:cs="Arial"/>
          <w:sz w:val="27"/>
          <w:szCs w:val="27"/>
          <w:lang w:eastAsia="en-US"/>
        </w:rPr>
        <w:t>empreendimentos</w:t>
      </w:r>
      <w:r w:rsidRPr="008910ED">
        <w:rPr>
          <w:rFonts w:ascii="Arial" w:hAnsi="Arial" w:eastAsiaTheme="minorHAnsi" w:cs="Arial"/>
          <w:sz w:val="27"/>
          <w:szCs w:val="27"/>
          <w:lang w:eastAsia="en-US"/>
        </w:rPr>
        <w:t xml:space="preserve"> a empresa</w:t>
      </w:r>
      <w:r>
        <w:rPr>
          <w:rFonts w:ascii="Arial" w:hAnsi="Arial" w:eastAsiaTheme="minorHAnsi" w:cs="Arial"/>
          <w:sz w:val="27"/>
          <w:szCs w:val="27"/>
          <w:lang w:eastAsia="en-US"/>
        </w:rPr>
        <w:t xml:space="preserve"> BRK Ambiental</w:t>
      </w:r>
      <w:r w:rsidRPr="008910ED">
        <w:rPr>
          <w:rFonts w:ascii="Arial" w:hAnsi="Arial" w:eastAsiaTheme="minorHAnsi" w:cs="Arial"/>
          <w:sz w:val="27"/>
          <w:szCs w:val="27"/>
          <w:lang w:eastAsia="en-US"/>
        </w:rPr>
        <w:t xml:space="preserve"> cobrou valores a título de </w:t>
      </w:r>
      <w:r>
        <w:rPr>
          <w:rFonts w:ascii="Arial" w:hAnsi="Arial" w:eastAsiaTheme="minorHAnsi" w:cs="Arial"/>
          <w:sz w:val="27"/>
          <w:szCs w:val="27"/>
          <w:lang w:eastAsia="en-US"/>
        </w:rPr>
        <w:t>“</w:t>
      </w:r>
      <w:r w:rsidRPr="008910ED">
        <w:rPr>
          <w:rFonts w:ascii="Arial" w:hAnsi="Arial" w:eastAsiaTheme="minorHAnsi" w:cs="Arial"/>
          <w:sz w:val="27"/>
          <w:szCs w:val="27"/>
          <w:lang w:eastAsia="en-US"/>
        </w:rPr>
        <w:t>contrapartida</w:t>
      </w:r>
      <w:r>
        <w:rPr>
          <w:rFonts w:ascii="Arial" w:hAnsi="Arial" w:eastAsiaTheme="minorHAnsi" w:cs="Arial"/>
          <w:sz w:val="27"/>
          <w:szCs w:val="27"/>
          <w:lang w:eastAsia="en-US"/>
        </w:rPr>
        <w:t>”</w:t>
      </w:r>
      <w:r w:rsidRPr="008910ED">
        <w:rPr>
          <w:rFonts w:ascii="Arial" w:hAnsi="Arial" w:eastAsiaTheme="minorHAnsi" w:cs="Arial"/>
          <w:sz w:val="27"/>
          <w:szCs w:val="27"/>
          <w:lang w:eastAsia="en-US"/>
        </w:rPr>
        <w:t xml:space="preserve"> desde </w:t>
      </w:r>
      <w:r>
        <w:rPr>
          <w:rFonts w:ascii="Arial" w:hAnsi="Arial" w:eastAsiaTheme="minorHAnsi" w:cs="Arial"/>
          <w:sz w:val="27"/>
          <w:szCs w:val="27"/>
          <w:lang w:eastAsia="en-US"/>
        </w:rPr>
        <w:t xml:space="preserve">que assumiu </w:t>
      </w:r>
      <w:r w:rsidRPr="002378B2">
        <w:rPr>
          <w:rFonts w:ascii="Arial" w:hAnsi="Arial" w:eastAsiaTheme="minorHAnsi" w:cs="Arial"/>
          <w:sz w:val="27"/>
          <w:szCs w:val="27"/>
          <w:lang w:eastAsia="en-US"/>
        </w:rPr>
        <w:t>o contrato de concessão para prestação dos serviços de água e esgoto no município de Sumaré</w:t>
      </w:r>
      <w:r w:rsidRPr="008910ED">
        <w:rPr>
          <w:rFonts w:ascii="Arial" w:hAnsi="Arial" w:eastAsiaTheme="minorHAnsi" w:cs="Arial"/>
          <w:sz w:val="27"/>
          <w:szCs w:val="27"/>
          <w:lang w:eastAsia="en-US"/>
        </w:rPr>
        <w:t>, relacionando os nomes, datas</w:t>
      </w:r>
      <w:r>
        <w:rPr>
          <w:rFonts w:ascii="Arial" w:hAnsi="Arial" w:eastAsiaTheme="minorHAnsi" w:cs="Arial"/>
          <w:sz w:val="27"/>
          <w:szCs w:val="27"/>
          <w:lang w:eastAsia="en-US"/>
        </w:rPr>
        <w:t>,</w:t>
      </w:r>
      <w:r w:rsidRPr="008910ED">
        <w:rPr>
          <w:rFonts w:ascii="Arial" w:hAnsi="Arial" w:eastAsiaTheme="minorHAnsi" w:cs="Arial"/>
          <w:sz w:val="27"/>
          <w:szCs w:val="27"/>
          <w:lang w:eastAsia="en-US"/>
        </w:rPr>
        <w:t xml:space="preserve"> respectivos valores</w:t>
      </w:r>
      <w:r>
        <w:rPr>
          <w:rFonts w:ascii="Arial" w:hAnsi="Arial" w:eastAsiaTheme="minorHAnsi" w:cs="Arial"/>
          <w:sz w:val="27"/>
          <w:szCs w:val="27"/>
          <w:lang w:eastAsia="en-US"/>
        </w:rPr>
        <w:t xml:space="preserve"> e montante total recebido</w:t>
      </w:r>
      <w:r w:rsidRPr="008910ED">
        <w:rPr>
          <w:rFonts w:ascii="Arial" w:hAnsi="Arial" w:eastAsiaTheme="minorHAnsi" w:cs="Arial"/>
          <w:sz w:val="27"/>
          <w:szCs w:val="27"/>
          <w:lang w:eastAsia="en-US"/>
        </w:rPr>
        <w:t xml:space="preserve">? </w:t>
      </w:r>
    </w:p>
    <w:p w:rsidR="00AF068B" w:rsidRPr="008910ED" w:rsidP="00AF068B" w14:paraId="249757C8" w14:textId="77777777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="Arial" w:hAnsi="Arial" w:eastAsiaTheme="minorHAnsi" w:cs="Arial"/>
          <w:sz w:val="27"/>
          <w:szCs w:val="27"/>
          <w:lang w:eastAsia="en-US"/>
        </w:rPr>
      </w:pPr>
      <w:r w:rsidRPr="002378B2">
        <w:rPr>
          <w:rFonts w:ascii="Arial" w:hAnsi="Arial" w:eastAsiaTheme="minorHAnsi" w:cs="Arial"/>
          <w:sz w:val="27"/>
          <w:szCs w:val="27"/>
          <w:lang w:eastAsia="en-US"/>
        </w:rPr>
        <w:t xml:space="preserve">Sejam apresentados todos os formulários de viabilidade de empreendimentos (FOVIE) autorizados pela BRK Ambiental </w:t>
      </w:r>
      <w:r w:rsidRPr="002378B2">
        <w:rPr>
          <w:rFonts w:ascii="Arial" w:hAnsi="Arial" w:eastAsiaTheme="minorHAnsi" w:cs="Arial"/>
          <w:sz w:val="27"/>
          <w:szCs w:val="27"/>
          <w:lang w:eastAsia="en-US"/>
        </w:rPr>
        <w:t>desde que assumiu o contrato de concessão para prestação dos serviços de água e esgoto no município de Sumaré.</w:t>
      </w:r>
    </w:p>
    <w:p w:rsidR="00AF068B" w:rsidRPr="008910ED" w:rsidP="00AF068B" w14:paraId="5D0F694C" w14:textId="77777777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="Arial" w:hAnsi="Arial" w:eastAsiaTheme="minorHAnsi" w:cs="Arial"/>
          <w:sz w:val="27"/>
          <w:szCs w:val="27"/>
          <w:lang w:eastAsia="en-US"/>
        </w:rPr>
      </w:pPr>
      <w:r w:rsidRPr="008910ED">
        <w:rPr>
          <w:rFonts w:ascii="Arial" w:hAnsi="Arial" w:eastAsiaTheme="minorHAnsi" w:cs="Arial"/>
          <w:sz w:val="27"/>
          <w:szCs w:val="27"/>
          <w:lang w:eastAsia="en-US"/>
        </w:rPr>
        <w:t xml:space="preserve">A cobrança dos valores a título de contrapartida </w:t>
      </w:r>
      <w:r>
        <w:rPr>
          <w:rFonts w:ascii="Arial" w:hAnsi="Arial" w:eastAsiaTheme="minorHAnsi" w:cs="Arial"/>
          <w:sz w:val="27"/>
          <w:szCs w:val="27"/>
          <w:lang w:eastAsia="en-US"/>
        </w:rPr>
        <w:t>pela BRK Ambiental</w:t>
      </w:r>
      <w:r w:rsidRPr="008910ED">
        <w:rPr>
          <w:rFonts w:ascii="Arial" w:hAnsi="Arial" w:eastAsiaTheme="minorHAnsi" w:cs="Arial"/>
          <w:sz w:val="27"/>
          <w:szCs w:val="27"/>
          <w:lang w:eastAsia="en-US"/>
        </w:rPr>
        <w:t xml:space="preserve"> foi prevista em contrato?</w:t>
      </w:r>
    </w:p>
    <w:p w:rsidR="00AF068B" w:rsidRPr="008910ED" w:rsidP="00AF068B" w14:paraId="33477A0D" w14:textId="77777777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="Arial" w:hAnsi="Arial" w:eastAsiaTheme="minorHAnsi" w:cs="Arial"/>
          <w:sz w:val="27"/>
          <w:szCs w:val="27"/>
          <w:lang w:eastAsia="en-US"/>
        </w:rPr>
      </w:pPr>
      <w:r w:rsidRPr="008910ED">
        <w:rPr>
          <w:rFonts w:ascii="Arial" w:hAnsi="Arial" w:eastAsiaTheme="minorHAnsi" w:cs="Arial"/>
          <w:sz w:val="27"/>
          <w:szCs w:val="27"/>
          <w:lang w:eastAsia="en-US"/>
        </w:rPr>
        <w:t xml:space="preserve">Os responsáveis pelos </w:t>
      </w:r>
      <w:r w:rsidRPr="008910ED">
        <w:rPr>
          <w:rFonts w:ascii="Arial" w:hAnsi="Arial" w:eastAsiaTheme="minorHAnsi" w:cs="Arial"/>
          <w:sz w:val="27"/>
          <w:szCs w:val="27"/>
          <w:lang w:eastAsia="en-US"/>
        </w:rPr>
        <w:t>empreendimentos</w:t>
      </w:r>
      <w:r w:rsidRPr="008910ED">
        <w:rPr>
          <w:rFonts w:ascii="Arial" w:hAnsi="Arial" w:eastAsiaTheme="minorHAnsi" w:cs="Arial"/>
          <w:sz w:val="27"/>
          <w:szCs w:val="27"/>
          <w:lang w:eastAsia="en-US"/>
        </w:rPr>
        <w:t xml:space="preserve"> foram avisados com antecedência </w:t>
      </w:r>
      <w:r>
        <w:rPr>
          <w:rFonts w:ascii="Arial" w:hAnsi="Arial" w:eastAsiaTheme="minorHAnsi" w:cs="Arial"/>
          <w:sz w:val="27"/>
          <w:szCs w:val="27"/>
          <w:lang w:eastAsia="en-US"/>
        </w:rPr>
        <w:t xml:space="preserve">pela BRK Ambiental </w:t>
      </w:r>
      <w:r w:rsidRPr="008910ED">
        <w:rPr>
          <w:rFonts w:ascii="Arial" w:hAnsi="Arial" w:eastAsiaTheme="minorHAnsi" w:cs="Arial"/>
          <w:sz w:val="27"/>
          <w:szCs w:val="27"/>
          <w:lang w:eastAsia="en-US"/>
        </w:rPr>
        <w:t>sobre a necessidade de pagamento de contrapartidas para conclusão da ligação de água pela concessionária?</w:t>
      </w:r>
    </w:p>
    <w:p w:rsidR="00AF068B" w:rsidRPr="008910ED" w:rsidP="00AF068B" w14:paraId="58221EB6" w14:textId="77777777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568"/>
        <w:jc w:val="both"/>
        <w:rPr>
          <w:rFonts w:ascii="Arial" w:hAnsi="Arial" w:eastAsiaTheme="minorHAnsi" w:cs="Arial"/>
          <w:sz w:val="27"/>
          <w:szCs w:val="27"/>
          <w:lang w:eastAsia="en-US"/>
        </w:rPr>
      </w:pPr>
      <w:r w:rsidRPr="008910ED">
        <w:rPr>
          <w:rFonts w:ascii="Arial" w:hAnsi="Arial" w:eastAsiaTheme="minorHAnsi" w:cs="Arial"/>
          <w:sz w:val="27"/>
          <w:szCs w:val="27"/>
          <w:lang w:eastAsia="en-US"/>
        </w:rPr>
        <w:t>Sala das Sessões, 04 de novembro de 2021.</w:t>
      </w:r>
    </w:p>
    <w:p w:rsidR="00AF068B" w:rsidRPr="008910ED" w:rsidP="00AF068B" w14:paraId="30010BBA" w14:textId="77777777">
      <w:pPr>
        <w:pStyle w:val="NoSpacing"/>
        <w:spacing w:before="240" w:after="240" w:line="360" w:lineRule="auto"/>
        <w:ind w:right="-568"/>
        <w:jc w:val="center"/>
        <w:rPr>
          <w:rFonts w:ascii="Arial" w:hAnsi="Arial" w:cs="Arial"/>
          <w:b/>
          <w:bCs/>
          <w:sz w:val="27"/>
          <w:szCs w:val="27"/>
        </w:rPr>
      </w:pPr>
    </w:p>
    <w:p w:rsidR="00AF068B" w:rsidRPr="008910ED" w:rsidP="00AF068B" w14:paraId="332BAFB8" w14:textId="77777777">
      <w:pPr>
        <w:pStyle w:val="NoSpacing"/>
        <w:ind w:right="-567"/>
        <w:jc w:val="center"/>
        <w:rPr>
          <w:rFonts w:ascii="Arial" w:hAnsi="Arial" w:cs="Arial"/>
          <w:b/>
          <w:bCs/>
          <w:sz w:val="27"/>
          <w:szCs w:val="27"/>
        </w:rPr>
      </w:pPr>
      <w:r w:rsidRPr="008910ED">
        <w:rPr>
          <w:rFonts w:ascii="Arial" w:hAnsi="Arial" w:cs="Arial"/>
          <w:b/>
          <w:bCs/>
          <w:sz w:val="27"/>
          <w:szCs w:val="27"/>
        </w:rPr>
        <w:t>WILLIAN SOUZA</w:t>
      </w:r>
    </w:p>
    <w:p w:rsidR="00AF068B" w:rsidRPr="008910ED" w:rsidP="00AF068B" w14:paraId="2E00F4D2" w14:textId="77777777">
      <w:pPr>
        <w:spacing w:after="0" w:line="240" w:lineRule="auto"/>
        <w:ind w:right="-567"/>
        <w:jc w:val="center"/>
        <w:rPr>
          <w:rFonts w:ascii="Arial" w:hAnsi="Arial" w:cs="Arial"/>
          <w:b/>
          <w:bCs/>
          <w:sz w:val="27"/>
          <w:szCs w:val="27"/>
        </w:rPr>
      </w:pPr>
      <w:r w:rsidRPr="008910ED">
        <w:rPr>
          <w:rFonts w:ascii="Arial" w:hAnsi="Arial" w:cs="Arial"/>
          <w:b/>
          <w:bCs/>
          <w:sz w:val="27"/>
          <w:szCs w:val="27"/>
        </w:rPr>
        <w:t>Vereador-Presidente</w:t>
      </w:r>
      <w:r w:rsidRPr="008910ED">
        <w:rPr>
          <w:rFonts w:ascii="Arial" w:hAnsi="Arial" w:cs="Arial"/>
          <w:b/>
          <w:bCs/>
          <w:sz w:val="27"/>
          <w:szCs w:val="27"/>
        </w:rPr>
        <w:br/>
        <w:t>Partido dos Trabalhadores – PT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AA1802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378B2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910ED"/>
    <w:rsid w:val="008E3FC2"/>
    <w:rsid w:val="00A06CF2"/>
    <w:rsid w:val="00AE6AEE"/>
    <w:rsid w:val="00AF068B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AF068B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AF06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legislacao.planalto.gov.br/legisla/legislacao.nsf/Viw_Identificacao/lei%208.987-1995?OpenDocumen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888</Words>
  <Characters>4796</Characters>
  <Application>Microsoft Office Word</Application>
  <DocSecurity>8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2021-11-04T15:53:00Z</dcterms:created>
  <dcterms:modified xsi:type="dcterms:W3CDTF">2021-11-04T15:53:00Z</dcterms:modified>
</cp:coreProperties>
</file>