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B25FA3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BE52F3">
        <w:rPr>
          <w:rFonts w:ascii="Arial" w:hAnsi="Arial" w:cs="Arial"/>
          <w:b/>
          <w:sz w:val="24"/>
          <w:szCs w:val="24"/>
          <w:u w:val="single"/>
        </w:rPr>
        <w:t>Estados Unidos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52F3">
        <w:rPr>
          <w:rFonts w:ascii="Arial" w:hAnsi="Arial" w:cs="Arial"/>
          <w:b/>
          <w:sz w:val="24"/>
          <w:szCs w:val="24"/>
          <w:u w:val="single"/>
        </w:rPr>
        <w:t>Lucélia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BE52F3">
        <w:rPr>
          <w:rFonts w:ascii="Arial" w:hAnsi="Arial" w:cs="Arial"/>
          <w:b/>
          <w:sz w:val="24"/>
          <w:szCs w:val="24"/>
          <w:u w:val="single"/>
        </w:rPr>
        <w:t>214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65139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85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BE52F3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4195-90CF-4B18-B12C-4CBD84B2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2021-11-03T23:16:00Z</dcterms:created>
  <dcterms:modified xsi:type="dcterms:W3CDTF">2021-11-03T23:18:00Z</dcterms:modified>
</cp:coreProperties>
</file>