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402F9CF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D36F8">
        <w:rPr>
          <w:rFonts w:ascii="Arial" w:eastAsia="MS Mincho" w:hAnsi="Arial" w:cs="Arial"/>
          <w:b/>
          <w:bCs/>
          <w:sz w:val="28"/>
          <w:szCs w:val="28"/>
        </w:rPr>
        <w:t>Getúlio Gonçalves Sampaio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6821A6">
        <w:rPr>
          <w:rFonts w:ascii="Arial" w:eastAsia="MS Mincho" w:hAnsi="Arial" w:cs="Arial"/>
          <w:b/>
          <w:bCs/>
          <w:sz w:val="28"/>
          <w:szCs w:val="28"/>
        </w:rPr>
        <w:t>Jd Santa Carolina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C62A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821A6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D36F8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A0D66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F75F-E83E-4650-8852-BFA46BB2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2021-11-03T13:44:00Z</dcterms:created>
  <dcterms:modified xsi:type="dcterms:W3CDTF">2021-11-03T13:44:00Z</dcterms:modified>
</cp:coreProperties>
</file>