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028DDC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649B">
        <w:rPr>
          <w:rFonts w:ascii="Arial" w:hAnsi="Arial" w:cs="Arial"/>
          <w:b/>
          <w:sz w:val="24"/>
          <w:szCs w:val="24"/>
          <w:u w:val="single"/>
        </w:rPr>
        <w:t>pintura e manutenção dos redutores de velocidade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2061C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D51FC">
        <w:rPr>
          <w:rFonts w:ascii="Arial" w:hAnsi="Arial" w:cs="Arial"/>
          <w:b/>
          <w:sz w:val="24"/>
          <w:szCs w:val="24"/>
          <w:u w:val="single"/>
        </w:rPr>
        <w:t>Basilicata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2061C7">
        <w:rPr>
          <w:rFonts w:ascii="Arial" w:hAnsi="Arial" w:cs="Arial"/>
          <w:b/>
          <w:sz w:val="24"/>
          <w:szCs w:val="24"/>
          <w:u w:val="single"/>
        </w:rPr>
        <w:t>295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49903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53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1800"/>
    <w:rsid w:val="000D2BDC"/>
    <w:rsid w:val="000E3B6C"/>
    <w:rsid w:val="000F7D2A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061C7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277B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4649B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3DF7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51FC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306E-D9E0-4DD7-91C5-8747AE3D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2021-11-03T23:32:00Z</dcterms:created>
  <dcterms:modified xsi:type="dcterms:W3CDTF">2021-11-03T23:32:00Z</dcterms:modified>
</cp:coreProperties>
</file>