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>
        <w:rPr>
          <w:rFonts w:ascii="Arial" w:eastAsia="Arial" w:hAnsi="Arial" w:cs="Arial"/>
          <w:b/>
        </w:rPr>
        <w:t xml:space="preserve"> Rua Faustino Gonçalves de Souza, Parque das Nações (Nova Veneza</w:t>
      </w:r>
      <w:r>
        <w:rPr>
          <w:rFonts w:ascii="Arial" w:eastAsia="Arial" w:hAnsi="Arial" w:cs="Arial"/>
          <w:b/>
        </w:rPr>
        <w:t>), Sumaré 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26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30539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shZ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shZ3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shZ3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shZ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MoAADqCwAAAAAAAIcLAADiKg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shZ3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kXAADALgAAAAAAAIoFAAA0Ew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shZ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oRAAAnPwAAAAAAADAiAADEAg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40230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shZ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D544785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6887311D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26</cp:revision>
  <dcterms:created xsi:type="dcterms:W3CDTF">2021-05-03T16:59:00Z</dcterms:created>
  <dcterms:modified xsi:type="dcterms:W3CDTF">2021-10-25T20:42:26Z</dcterms:modified>
</cp:coreProperties>
</file>