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0A2FAF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AA0785">
        <w:rPr>
          <w:rFonts w:ascii="Arial" w:hAnsi="Arial" w:cs="Arial"/>
          <w:b/>
          <w:sz w:val="24"/>
          <w:szCs w:val="24"/>
          <w:u w:val="single"/>
        </w:rPr>
        <w:t>Praça Manoel de Vasconcelos</w:t>
      </w:r>
      <w:r w:rsidR="00E47ADD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A26AA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0785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704391">
        <w:rPr>
          <w:rFonts w:ascii="Arial" w:hAnsi="Arial" w:cs="Arial"/>
          <w:b/>
          <w:sz w:val="24"/>
          <w:szCs w:val="24"/>
          <w:u w:val="single"/>
        </w:rPr>
        <w:t>, localizadas na Região Central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3951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26AA1"/>
    <w:rsid w:val="00A500D1"/>
    <w:rsid w:val="00AA0785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B372C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4C7F-A048-429A-A08A-C3661FA9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2021-10-26T11:47:00Z</dcterms:created>
  <dcterms:modified xsi:type="dcterms:W3CDTF">2021-10-26T11:48:00Z</dcterms:modified>
</cp:coreProperties>
</file>