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7C2DE65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9C3EDB">
        <w:rPr>
          <w:rFonts w:ascii="Arial" w:hAnsi="Arial" w:cs="Arial"/>
          <w:b/>
          <w:sz w:val="24"/>
          <w:szCs w:val="24"/>
          <w:u w:val="single"/>
        </w:rPr>
        <w:t>Av. Rebouças com a Rua Sebastião Raposeiro Junior</w:t>
      </w:r>
      <w:bookmarkStart w:id="1" w:name="_GoBack"/>
      <w:bookmarkEnd w:id="1"/>
      <w:r w:rsidR="00704391">
        <w:rPr>
          <w:rFonts w:ascii="Arial" w:hAnsi="Arial" w:cs="Arial"/>
          <w:b/>
          <w:sz w:val="24"/>
          <w:szCs w:val="24"/>
          <w:u w:val="single"/>
        </w:rPr>
        <w:t>, localizadas na Região Central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029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23DEF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C3EDB"/>
    <w:rsid w:val="009E5ADC"/>
    <w:rsid w:val="00A0525D"/>
    <w:rsid w:val="00A06CF2"/>
    <w:rsid w:val="00A12D5C"/>
    <w:rsid w:val="00A26AA1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0A90E-C3C0-4107-B582-67E68750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2021-10-26T11:51:00Z</dcterms:created>
  <dcterms:modified xsi:type="dcterms:W3CDTF">2021-10-26T11:52:00Z</dcterms:modified>
</cp:coreProperties>
</file>